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545F7" w14:textId="77777777" w:rsidR="00A44086" w:rsidRDefault="00A44086" w:rsidP="00A90CD1">
      <w:pPr>
        <w:pStyle w:val="Heading1"/>
        <w:spacing w:before="0"/>
        <w:jc w:val="both"/>
        <w:rPr>
          <w:rFonts w:ascii="Times New Roman" w:hAnsi="Times New Roman" w:cs="Times New Roman"/>
          <w:color w:val="auto"/>
        </w:rPr>
      </w:pPr>
      <w:bookmarkStart w:id="0" w:name="X85f4546ba611fbbdd64e67705123763baaa97f2"/>
    </w:p>
    <w:p w14:paraId="7137328D" w14:textId="7343D312" w:rsidR="005621D4" w:rsidRPr="00A90CD1" w:rsidRDefault="00000000" w:rsidP="00A90CD1">
      <w:pPr>
        <w:pStyle w:val="Heading1"/>
        <w:spacing w:before="0"/>
        <w:jc w:val="both"/>
        <w:rPr>
          <w:rFonts w:ascii="Times New Roman" w:hAnsi="Times New Roman" w:cs="Times New Roman"/>
          <w:color w:val="auto"/>
        </w:rPr>
      </w:pPr>
      <w:r w:rsidRPr="00A90CD1">
        <w:rPr>
          <w:rFonts w:ascii="Times New Roman" w:hAnsi="Times New Roman" w:cs="Times New Roman"/>
          <w:color w:val="auto"/>
        </w:rPr>
        <w:t>Structural Macroeconomic Modeling</w:t>
      </w:r>
    </w:p>
    <w:p w14:paraId="65BEED11" w14:textId="77777777" w:rsidR="00A90CD1" w:rsidRPr="00A90CD1" w:rsidRDefault="00000000" w:rsidP="00A90CD1">
      <w:pPr>
        <w:pStyle w:val="FirstParagraph"/>
        <w:jc w:val="both"/>
        <w:rPr>
          <w:rFonts w:ascii="Times New Roman" w:hAnsi="Times New Roman" w:cs="Times New Roman"/>
        </w:rPr>
      </w:pPr>
      <w:r w:rsidRPr="00A90CD1">
        <w:rPr>
          <w:rFonts w:ascii="Times New Roman" w:hAnsi="Times New Roman" w:cs="Times New Roman"/>
          <w:b/>
          <w:bCs/>
        </w:rPr>
        <w:t>Course Code:</w:t>
      </w:r>
      <w:r w:rsidRPr="00A90CD1">
        <w:rPr>
          <w:rFonts w:ascii="Times New Roman" w:hAnsi="Times New Roman" w:cs="Times New Roman"/>
        </w:rPr>
        <w:t xml:space="preserve"> ECON  </w:t>
      </w:r>
    </w:p>
    <w:p w14:paraId="653CFC04" w14:textId="77777777" w:rsidR="00A90CD1" w:rsidRPr="00A90CD1" w:rsidRDefault="00000000" w:rsidP="00A90CD1">
      <w:pPr>
        <w:pStyle w:val="FirstParagraph"/>
        <w:jc w:val="both"/>
        <w:rPr>
          <w:rFonts w:ascii="Times New Roman" w:hAnsi="Times New Roman" w:cs="Times New Roman"/>
        </w:rPr>
      </w:pPr>
      <w:r w:rsidRPr="00A90CD1">
        <w:rPr>
          <w:rFonts w:ascii="Times New Roman" w:hAnsi="Times New Roman" w:cs="Times New Roman"/>
          <w:b/>
          <w:bCs/>
        </w:rPr>
        <w:t>Level:</w:t>
      </w:r>
      <w:r w:rsidRPr="00A90CD1">
        <w:rPr>
          <w:rFonts w:ascii="Times New Roman" w:hAnsi="Times New Roman" w:cs="Times New Roman"/>
        </w:rPr>
        <w:t xml:space="preserve"> Graduate (MA / PhD) </w:t>
      </w:r>
    </w:p>
    <w:p w14:paraId="2A3564A0" w14:textId="77777777" w:rsidR="00A90CD1" w:rsidRPr="00A90CD1" w:rsidRDefault="00000000" w:rsidP="00A90CD1">
      <w:pPr>
        <w:pStyle w:val="FirstParagraph"/>
        <w:jc w:val="both"/>
        <w:rPr>
          <w:rFonts w:ascii="Times New Roman" w:hAnsi="Times New Roman" w:cs="Times New Roman"/>
          <w:b/>
          <w:bCs/>
        </w:rPr>
      </w:pPr>
      <w:r w:rsidRPr="00A90CD1">
        <w:rPr>
          <w:rFonts w:ascii="Times New Roman" w:hAnsi="Times New Roman" w:cs="Times New Roman"/>
          <w:b/>
          <w:bCs/>
        </w:rPr>
        <w:t>Credits:</w:t>
      </w:r>
      <w:r w:rsidRPr="00A90CD1">
        <w:rPr>
          <w:rFonts w:ascii="Times New Roman" w:hAnsi="Times New Roman" w:cs="Times New Roman"/>
        </w:rPr>
        <w:t xml:space="preserve"> 3 </w:t>
      </w:r>
      <w:r w:rsidRPr="00A90CD1">
        <w:rPr>
          <w:rFonts w:ascii="Times New Roman" w:hAnsi="Times New Roman" w:cs="Times New Roman"/>
          <w:b/>
          <w:bCs/>
        </w:rPr>
        <w:t>Format:</w:t>
      </w:r>
      <w:r w:rsidRPr="00A90CD1">
        <w:rPr>
          <w:rFonts w:ascii="Times New Roman" w:hAnsi="Times New Roman" w:cs="Times New Roman"/>
        </w:rPr>
        <w:t xml:space="preserve"> Weekly 3-hour session (14 weeks) </w:t>
      </w:r>
    </w:p>
    <w:p w14:paraId="6D9B38C4" w14:textId="7A6FB310" w:rsidR="005621D4" w:rsidRPr="00A90CD1" w:rsidRDefault="00000000" w:rsidP="00A90CD1">
      <w:pPr>
        <w:pStyle w:val="FirstParagraph"/>
        <w:jc w:val="both"/>
        <w:rPr>
          <w:rFonts w:ascii="Times New Roman" w:hAnsi="Times New Roman" w:cs="Times New Roman"/>
        </w:rPr>
      </w:pPr>
      <w:r w:rsidRPr="00A90CD1">
        <w:rPr>
          <w:rFonts w:ascii="Times New Roman" w:hAnsi="Times New Roman" w:cs="Times New Roman"/>
          <w:b/>
          <w:bCs/>
        </w:rPr>
        <w:t>Prerequisites:</w:t>
      </w:r>
      <w:r w:rsidRPr="00A90CD1">
        <w:rPr>
          <w:rFonts w:ascii="Times New Roman" w:hAnsi="Times New Roman" w:cs="Times New Roman"/>
        </w:rPr>
        <w:t xml:space="preserve"> Advanced Macroeconomics, Mathematical Economics, basic R proficiency (or willingness to learn quickly), Econometrics I</w:t>
      </w:r>
    </w:p>
    <w:p w14:paraId="76DDA69E" w14:textId="760DF703" w:rsidR="005621D4" w:rsidRPr="00A90CD1" w:rsidRDefault="000542A4" w:rsidP="00A90CD1">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085B5525" wp14:editId="33343CD1">
                <wp:simplePos x="0" y="0"/>
                <wp:positionH relativeFrom="column">
                  <wp:posOffset>-31750</wp:posOffset>
                </wp:positionH>
                <wp:positionV relativeFrom="paragraph">
                  <wp:posOffset>83820</wp:posOffset>
                </wp:positionV>
                <wp:extent cx="6019800" cy="0"/>
                <wp:effectExtent l="6350" t="8255" r="12700" b="10795"/>
                <wp:wrapNone/>
                <wp:docPr id="154906606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635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41BCB14" id="_x0000_t32" coordsize="21600,21600" o:spt="32" o:oned="t" path="m,l21600,21600e" filled="f">
                <v:path arrowok="t" fillok="f" o:connecttype="none"/>
                <o:lock v:ext="edit" shapetype="t"/>
              </v:shapetype>
              <v:shape id="AutoShape 21" o:spid="_x0000_s1026" type="#_x0000_t32" style="position:absolute;margin-left:-2.5pt;margin-top:6.6pt;width:47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" strokecolor="black [3213]" strokeweight=".5pt">
                <v:shadow color="#7f7f7f [1601]" opacity=".5" offset="1pt"/>
              </v:shape>
            </w:pict>
          </mc:Fallback>
        </mc:AlternateContent>
      </w:r>
    </w:p>
    <w:p w14:paraId="304DFF80" w14:textId="77777777" w:rsidR="005621D4" w:rsidRPr="00A90CD1" w:rsidRDefault="00000000" w:rsidP="00A90CD1">
      <w:pPr>
        <w:pStyle w:val="Heading2"/>
        <w:jc w:val="both"/>
        <w:rPr>
          <w:rFonts w:ascii="Times New Roman" w:hAnsi="Times New Roman" w:cs="Times New Roman"/>
          <w:color w:val="auto"/>
          <w:sz w:val="24"/>
          <w:szCs w:val="24"/>
        </w:rPr>
      </w:pPr>
      <w:bookmarkStart w:id="1" w:name="course-description"/>
      <w:r w:rsidRPr="00A90CD1">
        <w:rPr>
          <w:rFonts w:ascii="Times New Roman" w:hAnsi="Times New Roman" w:cs="Times New Roman"/>
          <w:color w:val="auto"/>
          <w:sz w:val="24"/>
          <w:szCs w:val="24"/>
        </w:rPr>
        <w:t>1. Course Description</w:t>
      </w:r>
    </w:p>
    <w:p w14:paraId="3B4F8DF8" w14:textId="77777777" w:rsidR="005621D4" w:rsidRPr="00A90CD1" w:rsidRDefault="00000000" w:rsidP="00A90CD1">
      <w:pPr>
        <w:pStyle w:val="FirstParagraph"/>
        <w:jc w:val="both"/>
        <w:rPr>
          <w:rFonts w:ascii="Times New Roman" w:hAnsi="Times New Roman" w:cs="Times New Roman"/>
        </w:rPr>
      </w:pPr>
      <w:r w:rsidRPr="00A90CD1">
        <w:rPr>
          <w:rFonts w:ascii="Times New Roman" w:hAnsi="Times New Roman" w:cs="Times New Roman"/>
        </w:rPr>
        <w:t>This graduate-level course offers a systematic treatment of Stock-Flow Consistent (SFC) macroeconomic modeling, the structural alternative to mainstream DSGE that has been developed within the post-Keynesian tradition since the work of Wynne Godley and Marc Lavoie. The course is built around three pedagogical commitments:</w:t>
      </w:r>
    </w:p>
    <w:p w14:paraId="186ECD20" w14:textId="77777777" w:rsidR="00A44086" w:rsidRDefault="00A90CD1" w:rsidP="00A90CD1">
      <w:pPr>
        <w:pStyle w:val="BodyText"/>
        <w:numPr>
          <w:ilvl w:val="0"/>
          <w:numId w:val="6"/>
        </w:numPr>
        <w:jc w:val="both"/>
        <w:rPr>
          <w:rFonts w:ascii="Times New Roman" w:hAnsi="Times New Roman" w:cs="Times New Roman"/>
        </w:rPr>
      </w:pPr>
      <w:r>
        <w:rPr>
          <w:rFonts w:ascii="Times New Roman" w:hAnsi="Times New Roman" w:cs="Times New Roman"/>
        </w:rPr>
        <w:t>T</w:t>
      </w:r>
      <w:r w:rsidR="00000000" w:rsidRPr="00A90CD1">
        <w:rPr>
          <w:rFonts w:ascii="Times New Roman" w:hAnsi="Times New Roman" w:cs="Times New Roman"/>
        </w:rPr>
        <w:t xml:space="preserve">he SFC discipline is taught not as a technique but as an </w:t>
      </w:r>
      <w:r w:rsidR="00000000" w:rsidRPr="00A90CD1">
        <w:rPr>
          <w:rFonts w:ascii="Times New Roman" w:hAnsi="Times New Roman" w:cs="Times New Roman"/>
          <w:i/>
          <w:iCs/>
        </w:rPr>
        <w:t>accounting-first ontology of the macroeconomy</w:t>
      </w:r>
      <w:r w:rsidR="00000000" w:rsidRPr="00A90CD1">
        <w:rPr>
          <w:rFonts w:ascii="Times New Roman" w:hAnsi="Times New Roman" w:cs="Times New Roman"/>
        </w:rPr>
        <w:t>: every flow must come from somewhere and go somewhere, every stock must be the residue of a flow, and every sector’s balance sheet must close. The canonical text</w:t>
      </w:r>
      <w:r>
        <w:rPr>
          <w:rFonts w:ascii="Times New Roman" w:hAnsi="Times New Roman" w:cs="Times New Roman"/>
        </w:rPr>
        <w:t xml:space="preserve">, </w:t>
      </w:r>
      <w:r w:rsidR="00000000" w:rsidRPr="00A90CD1">
        <w:rPr>
          <w:rFonts w:ascii="Times New Roman" w:hAnsi="Times New Roman" w:cs="Times New Roman"/>
        </w:rPr>
        <w:t xml:space="preserve">Godley and Lavoie’s </w:t>
      </w:r>
      <w:r w:rsidR="00000000" w:rsidRPr="00A90CD1">
        <w:rPr>
          <w:rFonts w:ascii="Times New Roman" w:hAnsi="Times New Roman" w:cs="Times New Roman"/>
          <w:i/>
          <w:iCs/>
        </w:rPr>
        <w:t>Monetary Economics</w:t>
      </w:r>
      <w:r w:rsidR="00000000" w:rsidRPr="00A90CD1">
        <w:rPr>
          <w:rFonts w:ascii="Times New Roman" w:hAnsi="Times New Roman" w:cs="Times New Roman"/>
        </w:rPr>
        <w:t xml:space="preserve"> (2007)</w:t>
      </w:r>
      <w:r w:rsidR="00A44086">
        <w:rPr>
          <w:rFonts w:ascii="Times New Roman" w:hAnsi="Times New Roman" w:cs="Times New Roman"/>
        </w:rPr>
        <w:t>,</w:t>
      </w:r>
      <w:r w:rsidR="00000000" w:rsidRPr="00A44086">
        <w:rPr>
          <w:rFonts w:ascii="Times New Roman" w:hAnsi="Times New Roman" w:cs="Times New Roman"/>
        </w:rPr>
        <w:t xml:space="preserve"> is the spine of the first half of the course.</w:t>
      </w:r>
    </w:p>
    <w:p w14:paraId="3425E9E3" w14:textId="7C7E4B23" w:rsidR="00A44086" w:rsidRDefault="00A44086" w:rsidP="00A90CD1">
      <w:pPr>
        <w:pStyle w:val="BodyText"/>
        <w:numPr>
          <w:ilvl w:val="0"/>
          <w:numId w:val="6"/>
        </w:numPr>
        <w:jc w:val="both"/>
        <w:rPr>
          <w:rFonts w:ascii="Times New Roman" w:hAnsi="Times New Roman" w:cs="Times New Roman"/>
        </w:rPr>
      </w:pPr>
      <w:r>
        <w:rPr>
          <w:rFonts w:ascii="Times New Roman" w:hAnsi="Times New Roman" w:cs="Times New Roman"/>
        </w:rPr>
        <w:t>S</w:t>
      </w:r>
      <w:r w:rsidR="00000000" w:rsidRPr="00A44086">
        <w:rPr>
          <w:rFonts w:ascii="Times New Roman" w:hAnsi="Times New Roman" w:cs="Times New Roman"/>
        </w:rPr>
        <w:t xml:space="preserve">tudents build all models </w:t>
      </w:r>
      <w:r w:rsidR="00000000" w:rsidRPr="00A44086">
        <w:rPr>
          <w:rFonts w:ascii="Times New Roman" w:hAnsi="Times New Roman" w:cs="Times New Roman"/>
          <w:i/>
          <w:iCs/>
        </w:rPr>
        <w:t>from scratch in R</w:t>
      </w:r>
      <w:r w:rsidR="00000000" w:rsidRPr="00A44086">
        <w:rPr>
          <w:rFonts w:ascii="Times New Roman" w:hAnsi="Times New Roman" w:cs="Times New Roman"/>
        </w:rPr>
        <w:t xml:space="preserve">. No SFC-specific packages (e.g., </w:t>
      </w:r>
      <w:r w:rsidR="00000000" w:rsidRPr="00A44086">
        <w:rPr>
          <w:rStyle w:val="VerbatimChar"/>
          <w:rFonts w:ascii="Times New Roman" w:hAnsi="Times New Roman" w:cs="Times New Roman"/>
          <w:sz w:val="24"/>
        </w:rPr>
        <w:t>sfcr</w:t>
      </w:r>
      <w:r w:rsidR="00000000" w:rsidRPr="00A44086">
        <w:rPr>
          <w:rFonts w:ascii="Times New Roman" w:hAnsi="Times New Roman" w:cs="Times New Roman"/>
        </w:rPr>
        <w:t xml:space="preserve">) are used. </w:t>
      </w:r>
      <w:r>
        <w:rPr>
          <w:rFonts w:ascii="Times New Roman" w:hAnsi="Times New Roman" w:cs="Times New Roman"/>
        </w:rPr>
        <w:t>They</w:t>
      </w:r>
      <w:r w:rsidR="00000000" w:rsidRPr="00A44086">
        <w:rPr>
          <w:rFonts w:ascii="Times New Roman" w:hAnsi="Times New Roman" w:cs="Times New Roman"/>
        </w:rPr>
        <w:t xml:space="preserve"> will implement Gauss-Seidel iteration manually, manage state through loops, and gain working knowledge of how SFC models are </w:t>
      </w:r>
      <w:r w:rsidR="002406E7" w:rsidRPr="00A44086">
        <w:rPr>
          <w:rFonts w:ascii="Times New Roman" w:hAnsi="Times New Roman" w:cs="Times New Roman"/>
        </w:rPr>
        <w:t>solved</w:t>
      </w:r>
      <w:r w:rsidR="00000000" w:rsidRPr="00A44086">
        <w:rPr>
          <w:rFonts w:ascii="Times New Roman" w:hAnsi="Times New Roman" w:cs="Times New Roman"/>
        </w:rPr>
        <w:t xml:space="preserve"> computationally. By the middle of the course, students will have implemented </w:t>
      </w:r>
      <w:r w:rsidR="002406E7" w:rsidRPr="00A44086">
        <w:rPr>
          <w:rFonts w:ascii="Times New Roman" w:hAnsi="Times New Roman" w:cs="Times New Roman"/>
        </w:rPr>
        <w:t>canonical</w:t>
      </w:r>
      <w:r w:rsidR="00000000" w:rsidRPr="00A44086">
        <w:rPr>
          <w:rFonts w:ascii="Times New Roman" w:hAnsi="Times New Roman" w:cs="Times New Roman"/>
        </w:rPr>
        <w:t xml:space="preserve"> Godley-Lavoie models </w:t>
      </w:r>
      <w:r>
        <w:rPr>
          <w:rFonts w:ascii="Times New Roman" w:hAnsi="Times New Roman" w:cs="Times New Roman"/>
        </w:rPr>
        <w:t xml:space="preserve">such as </w:t>
      </w:r>
      <w:r w:rsidR="00000000" w:rsidRPr="00A44086">
        <w:rPr>
          <w:rFonts w:ascii="Times New Roman" w:hAnsi="Times New Roman" w:cs="Times New Roman"/>
        </w:rPr>
        <w:t>SIM</w:t>
      </w:r>
      <w:r w:rsidR="002406E7">
        <w:rPr>
          <w:rFonts w:ascii="Times New Roman" w:hAnsi="Times New Roman" w:cs="Times New Roman"/>
        </w:rPr>
        <w:t>, PC, LP and</w:t>
      </w:r>
      <w:r w:rsidR="00000000" w:rsidRPr="00A44086">
        <w:rPr>
          <w:rFonts w:ascii="Times New Roman" w:hAnsi="Times New Roman" w:cs="Times New Roman"/>
        </w:rPr>
        <w:t xml:space="preserve"> DI</w:t>
      </w:r>
      <w:r w:rsidR="002406E7">
        <w:rPr>
          <w:rFonts w:ascii="Times New Roman" w:hAnsi="Times New Roman" w:cs="Times New Roman"/>
        </w:rPr>
        <w:t>S</w:t>
      </w:r>
      <w:r w:rsidR="00000000" w:rsidRPr="00A44086">
        <w:rPr>
          <w:rFonts w:ascii="Times New Roman" w:hAnsi="Times New Roman" w:cs="Times New Roman"/>
        </w:rPr>
        <w:t xml:space="preserve"> and will be ready to assemble a full theoretical benchmark.</w:t>
      </w:r>
    </w:p>
    <w:p w14:paraId="7C71BCE3" w14:textId="24FF91C7" w:rsidR="005621D4" w:rsidRPr="00A44086" w:rsidRDefault="00A44086" w:rsidP="00A90CD1">
      <w:pPr>
        <w:pStyle w:val="BodyText"/>
        <w:numPr>
          <w:ilvl w:val="0"/>
          <w:numId w:val="6"/>
        </w:numPr>
        <w:jc w:val="both"/>
        <w:rPr>
          <w:rFonts w:ascii="Times New Roman" w:hAnsi="Times New Roman" w:cs="Times New Roman"/>
        </w:rPr>
      </w:pPr>
      <w:r>
        <w:rPr>
          <w:rFonts w:ascii="Times New Roman" w:hAnsi="Times New Roman" w:cs="Times New Roman"/>
        </w:rPr>
        <w:t>T</w:t>
      </w:r>
      <w:r w:rsidR="00000000" w:rsidRPr="00A44086">
        <w:rPr>
          <w:rFonts w:ascii="Times New Roman" w:hAnsi="Times New Roman" w:cs="Times New Roman"/>
        </w:rPr>
        <w:t>he course culminates in students building, extending, and analyzing a two-household, six-sector closed-economy benchmark model based on Özden (2025, Ch. 4)</w:t>
      </w:r>
      <w:r>
        <w:rPr>
          <w:rFonts w:ascii="Times New Roman" w:hAnsi="Times New Roman" w:cs="Times New Roman"/>
        </w:rPr>
        <w:t>,</w:t>
      </w:r>
      <w:r w:rsidR="00000000" w:rsidRPr="00A44086">
        <w:rPr>
          <w:rFonts w:ascii="Times New Roman" w:hAnsi="Times New Roman" w:cs="Times New Roman"/>
        </w:rPr>
        <w:t xml:space="preserve"> a model that adds a Pasinettian household structure and conflicting-claims inflation to the standard Godley-Lavoie architecture. From Week 10 onward, students transition to the empirical extension: how to map this theoretical benchmark onto UK national accounts (ONS Blue Book), how to calibrate, and how to use the resulting model for counterfactual policy analysis. The final project asks each student to develop their own variant of the benchmark, addressing a research question of their choice.</w:t>
      </w:r>
    </w:p>
    <w:p w14:paraId="35AAA922" w14:textId="6F2752D8" w:rsidR="00A44086" w:rsidRDefault="00000000" w:rsidP="00A90CD1">
      <w:pPr>
        <w:pStyle w:val="BodyText"/>
        <w:jc w:val="both"/>
        <w:rPr>
          <w:rFonts w:ascii="Times New Roman" w:hAnsi="Times New Roman" w:cs="Times New Roman"/>
        </w:rPr>
      </w:pPr>
      <w:r w:rsidRPr="00A90CD1">
        <w:rPr>
          <w:rFonts w:ascii="Times New Roman" w:hAnsi="Times New Roman" w:cs="Times New Roman"/>
        </w:rPr>
        <w:t>The course closes with a survey of research frontiers</w:t>
      </w:r>
      <w:r w:rsidR="00A44086">
        <w:rPr>
          <w:rFonts w:ascii="Times New Roman" w:hAnsi="Times New Roman" w:cs="Times New Roman"/>
        </w:rPr>
        <w:t>,</w:t>
      </w:r>
      <w:r w:rsidRPr="00A90CD1">
        <w:rPr>
          <w:rFonts w:ascii="Times New Roman" w:hAnsi="Times New Roman" w:cs="Times New Roman"/>
        </w:rPr>
        <w:t xml:space="preserve"> agent-based SFC, ecological SFC, Minskyan financial fragility</w:t>
      </w:r>
      <w:r w:rsidR="00A44086">
        <w:rPr>
          <w:rFonts w:ascii="Times New Roman" w:hAnsi="Times New Roman" w:cs="Times New Roman"/>
        </w:rPr>
        <w:t>,</w:t>
      </w:r>
      <w:r w:rsidRPr="00A90CD1">
        <w:rPr>
          <w:rFonts w:ascii="Times New Roman" w:hAnsi="Times New Roman" w:cs="Times New Roman"/>
        </w:rPr>
        <w:t xml:space="preserve"> so that students can locate their own work within the broader SFC research program.</w:t>
      </w:r>
    </w:p>
    <w:p w14:paraId="2DB231B1" w14:textId="0B66B3FF" w:rsidR="00A44086" w:rsidRDefault="000542A4" w:rsidP="00A90CD1">
      <w:pPr>
        <w:pStyle w:val="BodyText"/>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85B5525" wp14:editId="6A66F8E1">
                <wp:simplePos x="0" y="0"/>
                <wp:positionH relativeFrom="column">
                  <wp:posOffset>-38100</wp:posOffset>
                </wp:positionH>
                <wp:positionV relativeFrom="paragraph">
                  <wp:posOffset>172085</wp:posOffset>
                </wp:positionV>
                <wp:extent cx="6019800" cy="0"/>
                <wp:effectExtent l="9525" t="11430" r="9525" b="7620"/>
                <wp:wrapNone/>
                <wp:docPr id="19545977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635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3E4DF57" id="AutoShape 22" o:spid="_x0000_s1026" type="#_x0000_t32" style="position:absolute;margin-left:-3pt;margin-top:13.55pt;width:47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" strokecolor="black [3213]" strokeweight=".5pt">
                <v:shadow color="#7f7f7f [1601]" opacity=".5" offset="1pt"/>
              </v:shape>
            </w:pict>
          </mc:Fallback>
        </mc:AlternateContent>
      </w:r>
    </w:p>
    <w:p w14:paraId="50FF5D0F" w14:textId="49B6694D" w:rsidR="00A44086" w:rsidRPr="00A90CD1" w:rsidRDefault="00A44086" w:rsidP="00A90CD1">
      <w:pPr>
        <w:pStyle w:val="BodyText"/>
        <w:jc w:val="both"/>
        <w:rPr>
          <w:rFonts w:ascii="Times New Roman" w:hAnsi="Times New Roman" w:cs="Times New Roman"/>
        </w:rPr>
      </w:pPr>
    </w:p>
    <w:p w14:paraId="65C36F1D" w14:textId="77777777" w:rsidR="005621D4" w:rsidRPr="00A90CD1" w:rsidRDefault="00000000" w:rsidP="00A90CD1">
      <w:pPr>
        <w:pStyle w:val="Heading2"/>
        <w:jc w:val="both"/>
        <w:rPr>
          <w:rFonts w:ascii="Times New Roman" w:hAnsi="Times New Roman" w:cs="Times New Roman"/>
          <w:color w:val="auto"/>
          <w:sz w:val="24"/>
          <w:szCs w:val="24"/>
        </w:rPr>
      </w:pPr>
      <w:bookmarkStart w:id="2" w:name="learning-outcomes"/>
      <w:bookmarkEnd w:id="1"/>
      <w:r w:rsidRPr="00A90CD1">
        <w:rPr>
          <w:rFonts w:ascii="Times New Roman" w:hAnsi="Times New Roman" w:cs="Times New Roman"/>
          <w:color w:val="auto"/>
          <w:sz w:val="24"/>
          <w:szCs w:val="24"/>
        </w:rPr>
        <w:lastRenderedPageBreak/>
        <w:t>2. Learning Outcomes</w:t>
      </w:r>
    </w:p>
    <w:p w14:paraId="158A8766" w14:textId="77777777" w:rsidR="005621D4" w:rsidRPr="00A90CD1" w:rsidRDefault="00000000" w:rsidP="00A90CD1">
      <w:pPr>
        <w:pStyle w:val="FirstParagraph"/>
        <w:jc w:val="both"/>
        <w:rPr>
          <w:rFonts w:ascii="Times New Roman" w:hAnsi="Times New Roman" w:cs="Times New Roman"/>
        </w:rPr>
      </w:pPr>
      <w:r w:rsidRPr="00A90CD1">
        <w:rPr>
          <w:rFonts w:ascii="Times New Roman" w:hAnsi="Times New Roman" w:cs="Times New Roman"/>
        </w:rPr>
        <w:t>By the end of the course, students will be able to:</w:t>
      </w:r>
    </w:p>
    <w:p w14:paraId="7E79220D" w14:textId="172E63E5" w:rsidR="005621D4" w:rsidRPr="00A90CD1" w:rsidRDefault="00000000" w:rsidP="00A90CD1">
      <w:pPr>
        <w:pStyle w:val="Compact"/>
        <w:numPr>
          <w:ilvl w:val="0"/>
          <w:numId w:val="2"/>
        </w:numPr>
        <w:jc w:val="both"/>
        <w:rPr>
          <w:rFonts w:ascii="Times New Roman" w:hAnsi="Times New Roman" w:cs="Times New Roman"/>
        </w:rPr>
      </w:pPr>
      <w:r w:rsidRPr="00A90CD1">
        <w:rPr>
          <w:rFonts w:ascii="Times New Roman" w:hAnsi="Times New Roman" w:cs="Times New Roman"/>
        </w:rPr>
        <w:t>Construct sectoral balance sheets, transactions-flow matrices (TFM), and revaluation matrices</w:t>
      </w:r>
      <w:r w:rsidR="00DA5A06">
        <w:rPr>
          <w:rFonts w:ascii="Times New Roman" w:hAnsi="Times New Roman" w:cs="Times New Roman"/>
        </w:rPr>
        <w:t>,</w:t>
      </w:r>
      <w:r w:rsidRPr="00A90CD1">
        <w:rPr>
          <w:rFonts w:ascii="Times New Roman" w:hAnsi="Times New Roman" w:cs="Times New Roman"/>
        </w:rPr>
        <w:t xml:space="preserve"> and demonstrate full stock-flow consistency.</w:t>
      </w:r>
    </w:p>
    <w:p w14:paraId="081C504D" w14:textId="742958B6" w:rsidR="005621D4" w:rsidRPr="00A90CD1" w:rsidRDefault="00000000" w:rsidP="00A90CD1">
      <w:pPr>
        <w:pStyle w:val="Compact"/>
        <w:numPr>
          <w:ilvl w:val="0"/>
          <w:numId w:val="2"/>
        </w:numPr>
        <w:jc w:val="both"/>
        <w:rPr>
          <w:rFonts w:ascii="Times New Roman" w:hAnsi="Times New Roman" w:cs="Times New Roman"/>
        </w:rPr>
      </w:pPr>
      <w:r w:rsidRPr="00A90CD1">
        <w:rPr>
          <w:rFonts w:ascii="Times New Roman" w:hAnsi="Times New Roman" w:cs="Times New Roman"/>
        </w:rPr>
        <w:t xml:space="preserve">Derive, solve analytically (where tractable), and simulate computationally the canonical Godley-Lavoie models (SIM, PC, BMW, DIS) and their </w:t>
      </w:r>
      <w:r w:rsidR="00DA5A06">
        <w:rPr>
          <w:rFonts w:ascii="Times New Roman" w:hAnsi="Times New Roman" w:cs="Times New Roman"/>
        </w:rPr>
        <w:t>specific model</w:t>
      </w:r>
      <w:r w:rsidRPr="00A90CD1">
        <w:rPr>
          <w:rFonts w:ascii="Times New Roman" w:hAnsi="Times New Roman" w:cs="Times New Roman"/>
        </w:rPr>
        <w:t>.</w:t>
      </w:r>
    </w:p>
    <w:p w14:paraId="41414BF3" w14:textId="26C34E82" w:rsidR="005621D4" w:rsidRPr="00A90CD1" w:rsidRDefault="00000000" w:rsidP="00A90CD1">
      <w:pPr>
        <w:pStyle w:val="Compact"/>
        <w:numPr>
          <w:ilvl w:val="0"/>
          <w:numId w:val="2"/>
        </w:numPr>
        <w:jc w:val="both"/>
        <w:rPr>
          <w:rFonts w:ascii="Times New Roman" w:hAnsi="Times New Roman" w:cs="Times New Roman"/>
        </w:rPr>
      </w:pPr>
      <w:r w:rsidRPr="00A90CD1">
        <w:rPr>
          <w:rFonts w:ascii="Times New Roman" w:hAnsi="Times New Roman" w:cs="Times New Roman"/>
        </w:rPr>
        <w:t>Implement SFC models in R from scratch</w:t>
      </w:r>
      <w:r w:rsidR="00DA5A06">
        <w:rPr>
          <w:rFonts w:ascii="Times New Roman" w:hAnsi="Times New Roman" w:cs="Times New Roman"/>
        </w:rPr>
        <w:t>,</w:t>
      </w:r>
      <w:r w:rsidRPr="00A90CD1">
        <w:rPr>
          <w:rFonts w:ascii="Times New Roman" w:hAnsi="Times New Roman" w:cs="Times New Roman"/>
        </w:rPr>
        <w:t xml:space="preserve"> including manual Gauss-Seidel iteration, steady-state derivation, and shock analysis</w:t>
      </w:r>
      <w:r w:rsidR="00DA5A06">
        <w:rPr>
          <w:rFonts w:ascii="Times New Roman" w:hAnsi="Times New Roman" w:cs="Times New Roman"/>
        </w:rPr>
        <w:t>.</w:t>
      </w:r>
    </w:p>
    <w:p w14:paraId="010B890A" w14:textId="0D3ED074" w:rsidR="005621D4" w:rsidRPr="00A90CD1" w:rsidRDefault="00000000" w:rsidP="00A90CD1">
      <w:pPr>
        <w:pStyle w:val="Compact"/>
        <w:numPr>
          <w:ilvl w:val="0"/>
          <w:numId w:val="2"/>
        </w:numPr>
        <w:jc w:val="both"/>
        <w:rPr>
          <w:rFonts w:ascii="Times New Roman" w:hAnsi="Times New Roman" w:cs="Times New Roman"/>
        </w:rPr>
      </w:pPr>
      <w:r w:rsidRPr="00A90CD1">
        <w:rPr>
          <w:rFonts w:ascii="Times New Roman" w:hAnsi="Times New Roman" w:cs="Times New Roman"/>
        </w:rPr>
        <w:t xml:space="preserve">Build a multi-sector closed-economy theoretical benchmark with conflicting-claims </w:t>
      </w:r>
      <w:r w:rsidR="00DA5A06" w:rsidRPr="00A90CD1">
        <w:rPr>
          <w:rFonts w:ascii="Times New Roman" w:hAnsi="Times New Roman" w:cs="Times New Roman"/>
        </w:rPr>
        <w:t>inflation and</w:t>
      </w:r>
      <w:r w:rsidRPr="00A90CD1">
        <w:rPr>
          <w:rFonts w:ascii="Times New Roman" w:hAnsi="Times New Roman" w:cs="Times New Roman"/>
        </w:rPr>
        <w:t xml:space="preserve"> modify its structure to address novel research questions.</w:t>
      </w:r>
    </w:p>
    <w:p w14:paraId="3294FD5B" w14:textId="1B2B6A0B" w:rsidR="005621D4" w:rsidRPr="00A90CD1" w:rsidRDefault="00DA5A06" w:rsidP="00A90CD1">
      <w:pPr>
        <w:pStyle w:val="Compact"/>
        <w:numPr>
          <w:ilvl w:val="0"/>
          <w:numId w:val="2"/>
        </w:numPr>
        <w:jc w:val="both"/>
        <w:rPr>
          <w:rFonts w:ascii="Times New Roman" w:hAnsi="Times New Roman" w:cs="Times New Roman"/>
        </w:rPr>
      </w:pPr>
      <w:r>
        <w:rPr>
          <w:rFonts w:ascii="Times New Roman" w:hAnsi="Times New Roman" w:cs="Times New Roman"/>
        </w:rPr>
        <w:t>Transform</w:t>
      </w:r>
      <w:r w:rsidR="00000000" w:rsidRPr="00A90CD1">
        <w:rPr>
          <w:rFonts w:ascii="Times New Roman" w:hAnsi="Times New Roman" w:cs="Times New Roman"/>
        </w:rPr>
        <w:t xml:space="preserve"> a theoretical SFC architecture into an empirical model using national accounts data (with the UK ONS Blue Book as the working example).</w:t>
      </w:r>
    </w:p>
    <w:p w14:paraId="18C852CB" w14:textId="77777777" w:rsidR="005621D4" w:rsidRDefault="00000000" w:rsidP="00A90CD1">
      <w:pPr>
        <w:pStyle w:val="Compact"/>
        <w:numPr>
          <w:ilvl w:val="0"/>
          <w:numId w:val="2"/>
        </w:numPr>
        <w:jc w:val="both"/>
        <w:rPr>
          <w:rFonts w:ascii="Times New Roman" w:hAnsi="Times New Roman" w:cs="Times New Roman"/>
        </w:rPr>
      </w:pPr>
      <w:r w:rsidRPr="00A90CD1">
        <w:rPr>
          <w:rFonts w:ascii="Times New Roman" w:hAnsi="Times New Roman" w:cs="Times New Roman"/>
        </w:rPr>
        <w:t>Critically evaluate the SFC literature, identify current research cleavages (mainstream vs. heterodox; closed-economy theory vs. open-economy empirics; agent-based vs. aggregate; ecological vs. monetary), and position their own work within these.</w:t>
      </w:r>
    </w:p>
    <w:p w14:paraId="1BB743C6" w14:textId="0119AE86" w:rsidR="00DA5A06" w:rsidRPr="00A90CD1" w:rsidRDefault="000542A4" w:rsidP="00DA5A06">
      <w:pPr>
        <w:pStyle w:val="Compact"/>
        <w:ind w:left="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85B5525" wp14:editId="6F9D502D">
                <wp:simplePos x="0" y="0"/>
                <wp:positionH relativeFrom="column">
                  <wp:posOffset>3810</wp:posOffset>
                </wp:positionH>
                <wp:positionV relativeFrom="paragraph">
                  <wp:posOffset>124460</wp:posOffset>
                </wp:positionV>
                <wp:extent cx="6019800" cy="0"/>
                <wp:effectExtent l="13335" t="13970" r="5715" b="5080"/>
                <wp:wrapNone/>
                <wp:docPr id="101276493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635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0AAA894" id="AutoShape 23" o:spid="_x0000_s1026" type="#_x0000_t32" style="position:absolute;margin-left:.3pt;margin-top:9.8pt;width:47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" strokecolor="black [3213]" strokeweight=".5pt">
                <v:shadow color="#7f7f7f [1601]" opacity=".5" offset="1pt"/>
              </v:shape>
            </w:pict>
          </mc:Fallback>
        </mc:AlternateContent>
      </w:r>
    </w:p>
    <w:p w14:paraId="581D06B4" w14:textId="0667DDD6" w:rsidR="005621D4" w:rsidRPr="00A90CD1" w:rsidRDefault="00000000" w:rsidP="00A90CD1">
      <w:pPr>
        <w:pStyle w:val="Heading2"/>
        <w:jc w:val="both"/>
        <w:rPr>
          <w:rFonts w:ascii="Times New Roman" w:hAnsi="Times New Roman" w:cs="Times New Roman"/>
          <w:color w:val="auto"/>
          <w:sz w:val="24"/>
          <w:szCs w:val="24"/>
        </w:rPr>
      </w:pPr>
      <w:bookmarkStart w:id="3" w:name="course-architecture"/>
      <w:bookmarkEnd w:id="2"/>
      <w:r w:rsidRPr="00A90CD1">
        <w:rPr>
          <w:rFonts w:ascii="Times New Roman" w:hAnsi="Times New Roman" w:cs="Times New Roman"/>
          <w:color w:val="auto"/>
          <w:sz w:val="24"/>
          <w:szCs w:val="24"/>
        </w:rPr>
        <w:t>3. Course Architecture</w:t>
      </w:r>
    </w:p>
    <w:p w14:paraId="6C971E7D" w14:textId="77777777" w:rsidR="005621D4" w:rsidRPr="00A90CD1" w:rsidRDefault="00000000" w:rsidP="00A90CD1">
      <w:pPr>
        <w:pStyle w:val="FirstParagraph"/>
        <w:jc w:val="both"/>
        <w:rPr>
          <w:rFonts w:ascii="Times New Roman" w:hAnsi="Times New Roman" w:cs="Times New Roman"/>
        </w:rPr>
      </w:pPr>
      <w:r w:rsidRPr="00A90CD1">
        <w:rPr>
          <w:rFonts w:ascii="Times New Roman" w:hAnsi="Times New Roman" w:cs="Times New Roman"/>
        </w:rPr>
        <w:t>The course is organized into three sequential phases:</w:t>
      </w:r>
    </w:p>
    <w:p w14:paraId="7C798390" w14:textId="03862150"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 xml:space="preserve">Phase I </w:t>
      </w:r>
      <w:r w:rsidR="00DA5A06">
        <w:rPr>
          <w:rFonts w:ascii="Times New Roman" w:hAnsi="Times New Roman" w:cs="Times New Roman"/>
          <w:b/>
          <w:bCs/>
        </w:rPr>
        <w:t>-</w:t>
      </w:r>
      <w:r w:rsidRPr="00A90CD1">
        <w:rPr>
          <w:rFonts w:ascii="Times New Roman" w:hAnsi="Times New Roman" w:cs="Times New Roman"/>
          <w:b/>
          <w:bCs/>
        </w:rPr>
        <w:t xml:space="preserve"> Foundations and Building Blocks (Weeks 1-6).</w:t>
      </w:r>
      <w:r w:rsidRPr="00A90CD1">
        <w:rPr>
          <w:rFonts w:ascii="Times New Roman" w:hAnsi="Times New Roman" w:cs="Times New Roman"/>
        </w:rPr>
        <w:t xml:space="preserve"> Following Godley and Lavoie (2007) closely, students learn the accounting discipline of SFC modeling and the canonical building blocks of post-Keynesian macro. Each week introduces a new building block</w:t>
      </w:r>
      <w:r w:rsidR="00DA5A06">
        <w:rPr>
          <w:rFonts w:ascii="Times New Roman" w:hAnsi="Times New Roman" w:cs="Times New Roman"/>
        </w:rPr>
        <w:t>;</w:t>
      </w:r>
      <w:r w:rsidRPr="00A90CD1">
        <w:rPr>
          <w:rFonts w:ascii="Times New Roman" w:hAnsi="Times New Roman" w:cs="Times New Roman"/>
        </w:rPr>
        <w:t xml:space="preserve"> money, portfolio choice, endogenous money and banking, production and investment, conflicting-claims inflation  and students implement each module in R during the lab portion of the session.</w:t>
      </w:r>
    </w:p>
    <w:p w14:paraId="5CB929B7" w14:textId="06E09911"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 xml:space="preserve">Phase II </w:t>
      </w:r>
      <w:r w:rsidR="00DA5A06">
        <w:rPr>
          <w:rFonts w:ascii="Times New Roman" w:hAnsi="Times New Roman" w:cs="Times New Roman"/>
          <w:b/>
          <w:bCs/>
        </w:rPr>
        <w:t>-</w:t>
      </w:r>
      <w:r w:rsidRPr="00A90CD1">
        <w:rPr>
          <w:rFonts w:ascii="Times New Roman" w:hAnsi="Times New Roman" w:cs="Times New Roman"/>
          <w:b/>
          <w:bCs/>
        </w:rPr>
        <w:t xml:space="preserve"> Assembling the Theoretical Benchmark (Weeks 7-9).</w:t>
      </w:r>
      <w:r w:rsidRPr="00A90CD1">
        <w:rPr>
          <w:rFonts w:ascii="Times New Roman" w:hAnsi="Times New Roman" w:cs="Times New Roman"/>
        </w:rPr>
        <w:t xml:space="preserve"> The transition week (Week 7) introduces the Pasinettian two-household architecture and motivates why the standard Godley-Lavoie wage-price formulation requires extension. Weeks 8-9 then assemble the full six-sector closed-economy benchmark of Özden (2025, Ch. 4), with students implementing it in R session by session and running shock scenarios at the end of Week 9.</w:t>
      </w:r>
    </w:p>
    <w:p w14:paraId="46823BCE" w14:textId="4E829053"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Phase III</w:t>
      </w:r>
      <w:r w:rsidR="00DA5A06">
        <w:rPr>
          <w:rFonts w:ascii="Times New Roman" w:hAnsi="Times New Roman" w:cs="Times New Roman"/>
          <w:b/>
          <w:bCs/>
        </w:rPr>
        <w:t xml:space="preserve"> -</w:t>
      </w:r>
      <w:r w:rsidRPr="00A90CD1">
        <w:rPr>
          <w:rFonts w:ascii="Times New Roman" w:hAnsi="Times New Roman" w:cs="Times New Roman"/>
          <w:b/>
          <w:bCs/>
        </w:rPr>
        <w:t xml:space="preserve"> From Theory to Empirical Modeling and Frontiers (Weeks 10-13).</w:t>
      </w:r>
      <w:r w:rsidRPr="00A90CD1">
        <w:rPr>
          <w:rFonts w:ascii="Times New Roman" w:hAnsi="Times New Roman" w:cs="Times New Roman"/>
        </w:rPr>
        <w:t xml:space="preserve"> The course pivots toward how a theoretical benchmark becomes an empirical macroeconometric tool. Week 10 introduces the ONS Blue Book and the sectoral architecture of empirical SFC modeling. Weeks 11-12 develop the UK-SFC empirical model and its calibration discipline. Week 13 </w:t>
      </w:r>
      <w:r w:rsidRPr="00DA5A06">
        <w:rPr>
          <w:rFonts w:ascii="Times New Roman" w:hAnsi="Times New Roman" w:cs="Times New Roman"/>
        </w:rPr>
        <w:t>surveys the research frontiers</w:t>
      </w:r>
      <w:r w:rsidR="00DA5A06" w:rsidRPr="00DA5A06">
        <w:rPr>
          <w:rFonts w:ascii="Times New Roman" w:hAnsi="Times New Roman" w:cs="Times New Roman"/>
        </w:rPr>
        <w:t>;</w:t>
      </w:r>
      <w:r w:rsidRPr="00DA5A06">
        <w:rPr>
          <w:rFonts w:ascii="Times New Roman" w:hAnsi="Times New Roman" w:cs="Times New Roman"/>
        </w:rPr>
        <w:t xml:space="preserve"> agent-based SFC, ecological SFC, Minskyan models</w:t>
      </w:r>
      <w:r w:rsidR="00DA5A06" w:rsidRPr="00DA5A06">
        <w:rPr>
          <w:rFonts w:ascii="Times New Roman" w:hAnsi="Times New Roman" w:cs="Times New Roman"/>
        </w:rPr>
        <w:t>,</w:t>
      </w:r>
      <w:r w:rsidRPr="00DA5A06">
        <w:rPr>
          <w:rFonts w:ascii="Times New Roman" w:hAnsi="Times New Roman" w:cs="Times New Roman"/>
        </w:rPr>
        <w:t xml:space="preserve"> so students see where their own benchmark variants can go. From Week 10 onward, students are concurrently developing their own final-project model.</w:t>
      </w:r>
    </w:p>
    <w:p w14:paraId="0D3D1E03" w14:textId="28816A0C" w:rsidR="005621D4" w:rsidRPr="00A90CD1" w:rsidRDefault="000542A4" w:rsidP="00A90CD1">
      <w:pPr>
        <w:pStyle w:val="BodyText"/>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85B5525" wp14:editId="0140A833">
                <wp:simplePos x="0" y="0"/>
                <wp:positionH relativeFrom="column">
                  <wp:posOffset>3810</wp:posOffset>
                </wp:positionH>
                <wp:positionV relativeFrom="paragraph">
                  <wp:posOffset>661670</wp:posOffset>
                </wp:positionV>
                <wp:extent cx="6019800" cy="0"/>
                <wp:effectExtent l="13335" t="10795" r="5715" b="8255"/>
                <wp:wrapNone/>
                <wp:docPr id="130281290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635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AED1A5B" id="AutoShape 24" o:spid="_x0000_s1026" type="#_x0000_t32" style="position:absolute;margin-left:.3pt;margin-top:52.1pt;width:47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" strokecolor="black [3213]" strokeweight=".5pt">
                <v:shadow color="#7f7f7f [1601]" opacity=".5" offset="1pt"/>
              </v:shape>
            </w:pict>
          </mc:Fallback>
        </mc:AlternateContent>
      </w:r>
      <w:r w:rsidR="00000000" w:rsidRPr="00A90CD1">
        <w:rPr>
          <w:rFonts w:ascii="Times New Roman" w:hAnsi="Times New Roman" w:cs="Times New Roman"/>
          <w:b/>
          <w:bCs/>
        </w:rPr>
        <w:t xml:space="preserve">Week 14 </w:t>
      </w:r>
      <w:r w:rsidR="009F5E29">
        <w:rPr>
          <w:rFonts w:ascii="Times New Roman" w:hAnsi="Times New Roman" w:cs="Times New Roman"/>
          <w:b/>
          <w:bCs/>
        </w:rPr>
        <w:t>-</w:t>
      </w:r>
      <w:r w:rsidR="00000000" w:rsidRPr="00A90CD1">
        <w:rPr>
          <w:rFonts w:ascii="Times New Roman" w:hAnsi="Times New Roman" w:cs="Times New Roman"/>
          <w:b/>
          <w:bCs/>
        </w:rPr>
        <w:t xml:space="preserve"> Final Project Presentations.</w:t>
      </w:r>
    </w:p>
    <w:p w14:paraId="7CB51A33" w14:textId="77777777" w:rsidR="005621D4" w:rsidRPr="00A90CD1" w:rsidRDefault="00000000" w:rsidP="00A90CD1">
      <w:pPr>
        <w:pStyle w:val="Heading2"/>
        <w:jc w:val="both"/>
        <w:rPr>
          <w:rFonts w:ascii="Times New Roman" w:hAnsi="Times New Roman" w:cs="Times New Roman"/>
          <w:color w:val="auto"/>
          <w:sz w:val="24"/>
          <w:szCs w:val="24"/>
        </w:rPr>
      </w:pPr>
      <w:bookmarkStart w:id="4" w:name="software-and-computational-setup"/>
      <w:bookmarkEnd w:id="3"/>
      <w:r w:rsidRPr="00A90CD1">
        <w:rPr>
          <w:rFonts w:ascii="Times New Roman" w:hAnsi="Times New Roman" w:cs="Times New Roman"/>
          <w:color w:val="auto"/>
          <w:sz w:val="24"/>
          <w:szCs w:val="24"/>
        </w:rPr>
        <w:lastRenderedPageBreak/>
        <w:t>4. Software and Computational Setup</w:t>
      </w:r>
    </w:p>
    <w:p w14:paraId="4ABB10CF" w14:textId="440C33FD" w:rsidR="005621D4" w:rsidRPr="00A90CD1" w:rsidRDefault="00000000" w:rsidP="00A90CD1">
      <w:pPr>
        <w:pStyle w:val="FirstParagraph"/>
        <w:jc w:val="both"/>
        <w:rPr>
          <w:rFonts w:ascii="Times New Roman" w:hAnsi="Times New Roman" w:cs="Times New Roman"/>
        </w:rPr>
      </w:pPr>
      <w:r w:rsidRPr="00A90CD1">
        <w:rPr>
          <w:rFonts w:ascii="Times New Roman" w:hAnsi="Times New Roman" w:cs="Times New Roman"/>
        </w:rPr>
        <w:t xml:space="preserve">All modeling is done in </w:t>
      </w:r>
      <w:r w:rsidRPr="00A90CD1">
        <w:rPr>
          <w:rFonts w:ascii="Times New Roman" w:hAnsi="Times New Roman" w:cs="Times New Roman"/>
          <w:b/>
          <w:bCs/>
        </w:rPr>
        <w:t>R</w:t>
      </w:r>
      <w:r w:rsidRPr="00A90CD1">
        <w:rPr>
          <w:rFonts w:ascii="Times New Roman" w:hAnsi="Times New Roman" w:cs="Times New Roman"/>
        </w:rPr>
        <w:t xml:space="preserve"> (≥ 4.2). Students will use base R, </w:t>
      </w:r>
      <w:r w:rsidRPr="00A90CD1">
        <w:rPr>
          <w:rStyle w:val="VerbatimChar"/>
          <w:rFonts w:ascii="Times New Roman" w:hAnsi="Times New Roman" w:cs="Times New Roman"/>
          <w:sz w:val="24"/>
        </w:rPr>
        <w:t>tidyverse</w:t>
      </w:r>
      <w:r w:rsidRPr="00A90CD1">
        <w:rPr>
          <w:rFonts w:ascii="Times New Roman" w:hAnsi="Times New Roman" w:cs="Times New Roman"/>
        </w:rPr>
        <w:t>,</w:t>
      </w:r>
      <w:r w:rsidR="00DA5A06">
        <w:rPr>
          <w:rFonts w:ascii="Times New Roman" w:hAnsi="Times New Roman" w:cs="Times New Roman"/>
        </w:rPr>
        <w:t xml:space="preserve"> dplyr,</w:t>
      </w:r>
      <w:r w:rsidRPr="00A90CD1">
        <w:rPr>
          <w:rFonts w:ascii="Times New Roman" w:hAnsi="Times New Roman" w:cs="Times New Roman"/>
        </w:rPr>
        <w:t xml:space="preserve"> </w:t>
      </w:r>
      <w:r w:rsidRPr="00A90CD1">
        <w:rPr>
          <w:rStyle w:val="VerbatimChar"/>
          <w:rFonts w:ascii="Times New Roman" w:hAnsi="Times New Roman" w:cs="Times New Roman"/>
          <w:sz w:val="24"/>
        </w:rPr>
        <w:t>ggplot2</w:t>
      </w:r>
      <w:r w:rsidRPr="00A90CD1">
        <w:rPr>
          <w:rFonts w:ascii="Times New Roman" w:hAnsi="Times New Roman" w:cs="Times New Roman"/>
        </w:rPr>
        <w:t>,</w:t>
      </w:r>
      <w:r w:rsidR="00DA5A06">
        <w:rPr>
          <w:rFonts w:ascii="Times New Roman" w:hAnsi="Times New Roman" w:cs="Times New Roman"/>
        </w:rPr>
        <w:t xml:space="preserve"> ploty, shiny</w:t>
      </w:r>
      <w:r w:rsidRPr="00A90CD1">
        <w:rPr>
          <w:rFonts w:ascii="Times New Roman" w:hAnsi="Times New Roman" w:cs="Times New Roman"/>
        </w:rPr>
        <w:t xml:space="preserve"> and the numerical solver </w:t>
      </w:r>
      <w:r w:rsidRPr="00A90CD1">
        <w:rPr>
          <w:rStyle w:val="VerbatimChar"/>
          <w:rFonts w:ascii="Times New Roman" w:hAnsi="Times New Roman" w:cs="Times New Roman"/>
          <w:sz w:val="24"/>
        </w:rPr>
        <w:t>rootSolve::multiroot</w:t>
      </w:r>
      <w:r w:rsidRPr="00A90CD1">
        <w:rPr>
          <w:rFonts w:ascii="Times New Roman" w:hAnsi="Times New Roman" w:cs="Times New Roman"/>
        </w:rPr>
        <w:t xml:space="preserve"> where appropriate. Code is managed via </w:t>
      </w:r>
      <w:r w:rsidRPr="00DA5A06">
        <w:rPr>
          <w:rFonts w:ascii="Times New Roman" w:hAnsi="Times New Roman" w:cs="Times New Roman"/>
        </w:rPr>
        <w:t>Git/GitHub,</w:t>
      </w:r>
      <w:r w:rsidRPr="00A90CD1">
        <w:rPr>
          <w:rFonts w:ascii="Times New Roman" w:hAnsi="Times New Roman" w:cs="Times New Roman"/>
        </w:rPr>
        <w:t xml:space="preserve"> with each student maintaining a repository for their problem sets and final project.</w:t>
      </w:r>
    </w:p>
    <w:p w14:paraId="0580BFD3"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rPr>
        <w:t>A course GitHub repository will host the canonical (instructor-maintained) code for each weekly model. After each weekly session, the canonical version is published so that students never carry forward accumulated errors into the next module. Students submit their own implementations for problem sets, but rely on the canonical version when building on prior weeks’ work.</w:t>
      </w:r>
    </w:p>
    <w:p w14:paraId="374BC756" w14:textId="662BEE8E" w:rsidR="005621D4" w:rsidRPr="00A90CD1" w:rsidRDefault="00000000" w:rsidP="00A90CD1">
      <w:pPr>
        <w:pStyle w:val="BodyText"/>
        <w:jc w:val="both"/>
        <w:rPr>
          <w:rFonts w:ascii="Times New Roman" w:hAnsi="Times New Roman" w:cs="Times New Roman"/>
        </w:rPr>
      </w:pPr>
      <w:r w:rsidRPr="00DA5A06">
        <w:rPr>
          <w:rFonts w:ascii="Times New Roman" w:hAnsi="Times New Roman" w:cs="Times New Roman"/>
        </w:rPr>
        <w:t>No SFC-specific R packages are used. This</w:t>
      </w:r>
      <w:r w:rsidRPr="00A90CD1">
        <w:rPr>
          <w:rFonts w:ascii="Times New Roman" w:hAnsi="Times New Roman" w:cs="Times New Roman"/>
        </w:rPr>
        <w:t xml:space="preserve"> is a deliberate pedagogical choice: students learn how SFC models are actually solved, not how to call a function that solves them.</w:t>
      </w:r>
    </w:p>
    <w:p w14:paraId="712B053B" w14:textId="152CE166" w:rsidR="005621D4" w:rsidRPr="00A90CD1" w:rsidRDefault="000542A4" w:rsidP="00A90CD1">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85B5525" wp14:editId="446FEEE7">
                <wp:simplePos x="0" y="0"/>
                <wp:positionH relativeFrom="column">
                  <wp:posOffset>5080</wp:posOffset>
                </wp:positionH>
                <wp:positionV relativeFrom="paragraph">
                  <wp:posOffset>203200</wp:posOffset>
                </wp:positionV>
                <wp:extent cx="6019800" cy="0"/>
                <wp:effectExtent l="5080" t="12700" r="13970" b="6350"/>
                <wp:wrapNone/>
                <wp:docPr id="189769311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635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9E1E53A" id="AutoShape 25" o:spid="_x0000_s1026" type="#_x0000_t32" style="position:absolute;margin-left:.4pt;margin-top:16pt;width:47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" strokecolor="black [3213]" strokeweight=".5pt">
                <v:shadow color="#7f7f7f [1601]" opacity=".5" offset="1pt"/>
              </v:shape>
            </w:pict>
          </mc:Fallback>
        </mc:AlternateContent>
      </w:r>
    </w:p>
    <w:p w14:paraId="1A74A438" w14:textId="54459B02" w:rsidR="005621D4" w:rsidRPr="00A90CD1" w:rsidRDefault="00000000" w:rsidP="00A90CD1">
      <w:pPr>
        <w:pStyle w:val="Heading2"/>
        <w:jc w:val="both"/>
        <w:rPr>
          <w:rFonts w:ascii="Times New Roman" w:hAnsi="Times New Roman" w:cs="Times New Roman"/>
          <w:color w:val="auto"/>
          <w:sz w:val="24"/>
          <w:szCs w:val="24"/>
        </w:rPr>
      </w:pPr>
      <w:bookmarkStart w:id="5" w:name="weekly-schedule"/>
      <w:bookmarkEnd w:id="4"/>
      <w:r w:rsidRPr="00A90CD1">
        <w:rPr>
          <w:rFonts w:ascii="Times New Roman" w:hAnsi="Times New Roman" w:cs="Times New Roman"/>
          <w:color w:val="auto"/>
          <w:sz w:val="24"/>
          <w:szCs w:val="24"/>
        </w:rPr>
        <w:t>5. Weekly Schedule</w:t>
      </w:r>
    </w:p>
    <w:p w14:paraId="07CCAE85" w14:textId="1BDCD836" w:rsidR="005621D4" w:rsidRPr="00DA5A06" w:rsidRDefault="00000000" w:rsidP="00A90CD1">
      <w:pPr>
        <w:pStyle w:val="FirstParagraph"/>
        <w:jc w:val="both"/>
        <w:rPr>
          <w:rFonts w:ascii="Times New Roman" w:hAnsi="Times New Roman" w:cs="Times New Roman"/>
        </w:rPr>
      </w:pPr>
      <w:r w:rsidRPr="00DA5A06">
        <w:rPr>
          <w:rFonts w:ascii="Times New Roman" w:hAnsi="Times New Roman" w:cs="Times New Roman"/>
        </w:rPr>
        <w:t>Each 3-hour session is structured as follows (subject to weekly variation): - Block 1 (75-80 min): Theory, derivations, key readings discussion - 10 min break - Block 2 (75-80 min): R lab guided implementation of the week’s model</w:t>
      </w:r>
    </w:p>
    <w:p w14:paraId="524FE44E" w14:textId="00630976" w:rsidR="005621D4" w:rsidRPr="00A90CD1" w:rsidRDefault="00000000" w:rsidP="00A90CD1">
      <w:pPr>
        <w:pStyle w:val="Heading3"/>
        <w:jc w:val="both"/>
        <w:rPr>
          <w:rFonts w:ascii="Times New Roman" w:hAnsi="Times New Roman" w:cs="Times New Roman"/>
          <w:color w:val="auto"/>
        </w:rPr>
      </w:pPr>
      <w:bookmarkStart w:id="6" w:name="Xefe6b589c00cc195dc969ad1340dcd5ea0602e4"/>
      <w:r w:rsidRPr="00A90CD1">
        <w:rPr>
          <w:rFonts w:ascii="Times New Roman" w:hAnsi="Times New Roman" w:cs="Times New Roman"/>
          <w:color w:val="auto"/>
        </w:rPr>
        <w:t xml:space="preserve">Week 1 </w:t>
      </w:r>
      <w:r w:rsidR="00DA5A06">
        <w:rPr>
          <w:rFonts w:ascii="Times New Roman" w:hAnsi="Times New Roman" w:cs="Times New Roman"/>
          <w:color w:val="auto"/>
        </w:rPr>
        <w:t>-</w:t>
      </w:r>
      <w:r w:rsidRPr="00A90CD1">
        <w:rPr>
          <w:rFonts w:ascii="Times New Roman" w:hAnsi="Times New Roman" w:cs="Times New Roman"/>
          <w:color w:val="auto"/>
        </w:rPr>
        <w:t xml:space="preserve"> Why Stock-Flow Consistency? Foundations and R Setup</w:t>
      </w:r>
    </w:p>
    <w:p w14:paraId="5DF662D2" w14:textId="77777777" w:rsidR="005621D4" w:rsidRPr="00A90CD1" w:rsidRDefault="00000000" w:rsidP="00A90CD1">
      <w:pPr>
        <w:pStyle w:val="FirstParagraph"/>
        <w:jc w:val="both"/>
        <w:rPr>
          <w:rFonts w:ascii="Times New Roman" w:hAnsi="Times New Roman" w:cs="Times New Roman"/>
        </w:rPr>
      </w:pPr>
      <w:r w:rsidRPr="00A90CD1">
        <w:rPr>
          <w:rFonts w:ascii="Times New Roman" w:hAnsi="Times New Roman" w:cs="Times New Roman"/>
          <w:b/>
          <w:bCs/>
        </w:rPr>
        <w:t>Block 1 (Theory):</w:t>
      </w:r>
      <w:r w:rsidRPr="00A90CD1">
        <w:rPr>
          <w:rFonts w:ascii="Times New Roman" w:hAnsi="Times New Roman" w:cs="Times New Roman"/>
        </w:rPr>
        <w:t xml:space="preserve"> The macroeconomic accounting tradition from Copeland (1949) to Godley. The DSGE critique and the 2008 crisis as evidence for accounting-first modeling. The four pillars of SFC: accounting consistency, double-entry, no black holes (“everything comes from somewhere, everything goes somewhere”), and stock-flow articulation. Methodological overview of the course.</w:t>
      </w:r>
    </w:p>
    <w:p w14:paraId="5039EE00"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Block 2 (R Refresher):</w:t>
      </w:r>
      <w:r w:rsidRPr="00A90CD1">
        <w:rPr>
          <w:rFonts w:ascii="Times New Roman" w:hAnsi="Times New Roman" w:cs="Times New Roman"/>
        </w:rPr>
        <w:t xml:space="preserve"> Setting up RStudio and the course GitHub repository. R essentials for SFC: vectors, matrices, data frames, control flow, function design, basic plotting. For students comfortable with R, this serves as a setup-and-conventions session.</w:t>
      </w:r>
    </w:p>
    <w:p w14:paraId="596C5C6D"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Readings:</w:t>
      </w:r>
      <w:r w:rsidRPr="00A90CD1">
        <w:rPr>
          <w:rFonts w:ascii="Times New Roman" w:hAnsi="Times New Roman" w:cs="Times New Roman"/>
        </w:rPr>
        <w:t xml:space="preserve"> - Godley &amp; Lavoie (2007), Ch. 1 - Nikiforos &amp; Zezza (2017), “Stock-Flow Consistent Macroeconomic Models: A Survey,” </w:t>
      </w:r>
      <w:r w:rsidRPr="00A90CD1">
        <w:rPr>
          <w:rFonts w:ascii="Times New Roman" w:hAnsi="Times New Roman" w:cs="Times New Roman"/>
          <w:i/>
          <w:iCs/>
        </w:rPr>
        <w:t>Journal of Economic Surveys</w:t>
      </w:r>
      <w:r w:rsidRPr="00A90CD1">
        <w:rPr>
          <w:rFonts w:ascii="Times New Roman" w:hAnsi="Times New Roman" w:cs="Times New Roman"/>
        </w:rPr>
        <w:t xml:space="preserve"> 31(5) - Bezemer (2010), “Understanding financial crisis through accounting models,” </w:t>
      </w:r>
      <w:r w:rsidRPr="00A90CD1">
        <w:rPr>
          <w:rFonts w:ascii="Times New Roman" w:hAnsi="Times New Roman" w:cs="Times New Roman"/>
          <w:i/>
          <w:iCs/>
        </w:rPr>
        <w:t>Accounting, Organizations and Society</w:t>
      </w:r>
      <w:r w:rsidRPr="00A90CD1">
        <w:rPr>
          <w:rFonts w:ascii="Times New Roman" w:hAnsi="Times New Roman" w:cs="Times New Roman"/>
        </w:rPr>
        <w:t xml:space="preserve"> 35(7)</w:t>
      </w:r>
    </w:p>
    <w:p w14:paraId="2D22A70D" w14:textId="35A03F20" w:rsidR="005621D4" w:rsidRPr="00A90CD1" w:rsidRDefault="000542A4" w:rsidP="00A90CD1">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85B5525" wp14:editId="52738ACA">
                <wp:simplePos x="0" y="0"/>
                <wp:positionH relativeFrom="column">
                  <wp:posOffset>5080</wp:posOffset>
                </wp:positionH>
                <wp:positionV relativeFrom="paragraph">
                  <wp:posOffset>103505</wp:posOffset>
                </wp:positionV>
                <wp:extent cx="6019800" cy="0"/>
                <wp:effectExtent l="5080" t="6350" r="13970" b="12700"/>
                <wp:wrapNone/>
                <wp:docPr id="154174588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635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5FB445" id="AutoShape 26" o:spid="_x0000_s1026" type="#_x0000_t32" style="position:absolute;margin-left:.4pt;margin-top:8.15pt;width:47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" strokecolor="black [3213]" strokeweight=".5pt">
                <v:shadow color="#7f7f7f [1601]" opacity=".5" offset="1pt"/>
              </v:shape>
            </w:pict>
          </mc:Fallback>
        </mc:AlternateContent>
      </w:r>
    </w:p>
    <w:p w14:paraId="256F7551" w14:textId="5C8A41FD" w:rsidR="005621D4" w:rsidRPr="00A90CD1" w:rsidRDefault="00000000" w:rsidP="00A90CD1">
      <w:pPr>
        <w:pStyle w:val="Heading3"/>
        <w:jc w:val="both"/>
        <w:rPr>
          <w:rFonts w:ascii="Times New Roman" w:hAnsi="Times New Roman" w:cs="Times New Roman"/>
          <w:color w:val="auto"/>
        </w:rPr>
      </w:pPr>
      <w:bookmarkStart w:id="7" w:name="Xa43bb4185fbf4eb5cf3733a33bde7d3cc8d19db"/>
      <w:bookmarkEnd w:id="6"/>
      <w:r w:rsidRPr="00A90CD1">
        <w:rPr>
          <w:rFonts w:ascii="Times New Roman" w:hAnsi="Times New Roman" w:cs="Times New Roman"/>
          <w:color w:val="auto"/>
        </w:rPr>
        <w:t xml:space="preserve">Week 2 </w:t>
      </w:r>
      <w:r w:rsidR="00D86AC4">
        <w:rPr>
          <w:rFonts w:ascii="Times New Roman" w:hAnsi="Times New Roman" w:cs="Times New Roman"/>
          <w:color w:val="auto"/>
        </w:rPr>
        <w:t>-</w:t>
      </w:r>
      <w:r w:rsidRPr="00A90CD1">
        <w:rPr>
          <w:rFonts w:ascii="Times New Roman" w:hAnsi="Times New Roman" w:cs="Times New Roman"/>
          <w:color w:val="auto"/>
        </w:rPr>
        <w:t xml:space="preserve"> The Accounting Framework and Model SIM</w:t>
      </w:r>
    </w:p>
    <w:p w14:paraId="3FF464DD" w14:textId="4E21BDA0" w:rsidR="005621D4" w:rsidRPr="00A90CD1" w:rsidRDefault="00000000" w:rsidP="00A90CD1">
      <w:pPr>
        <w:pStyle w:val="FirstParagraph"/>
        <w:jc w:val="both"/>
        <w:rPr>
          <w:rFonts w:ascii="Times New Roman" w:hAnsi="Times New Roman" w:cs="Times New Roman"/>
        </w:rPr>
      </w:pPr>
      <w:r w:rsidRPr="00A90CD1">
        <w:rPr>
          <w:rFonts w:ascii="Times New Roman" w:hAnsi="Times New Roman" w:cs="Times New Roman"/>
          <w:b/>
          <w:bCs/>
        </w:rPr>
        <w:t>Block 1 (Theory):</w:t>
      </w:r>
      <w:r w:rsidRPr="00A90CD1">
        <w:rPr>
          <w:rFonts w:ascii="Times New Roman" w:hAnsi="Times New Roman" w:cs="Times New Roman"/>
        </w:rPr>
        <w:t xml:space="preserve"> Balance-sheet matrices and transactions-flow matrices (TFM). Vertical and horizontal consistency constraints. Sector definitions in a closed economy. Walking through Model SIM (G&amp;L Ch. 3): the simplest possible SFC model</w:t>
      </w:r>
      <w:r w:rsidR="00D86AC4">
        <w:rPr>
          <w:rFonts w:ascii="Times New Roman" w:hAnsi="Times New Roman" w:cs="Times New Roman"/>
        </w:rPr>
        <w:t>;</w:t>
      </w:r>
      <w:r w:rsidRPr="00A90CD1">
        <w:rPr>
          <w:rFonts w:ascii="Times New Roman" w:hAnsi="Times New Roman" w:cs="Times New Roman"/>
        </w:rPr>
        <w:t xml:space="preserve"> government money, output, household consumption. Steady-state derivation. Keynesian multiplier in the SFC framework.</w:t>
      </w:r>
    </w:p>
    <w:p w14:paraId="1DCE5438"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Block 2 (R Lab):</w:t>
      </w:r>
      <w:r w:rsidRPr="00A90CD1">
        <w:rPr>
          <w:rFonts w:ascii="Times New Roman" w:hAnsi="Times New Roman" w:cs="Times New Roman"/>
        </w:rPr>
        <w:t xml:space="preserve"> Code Model SIM from scratch. Implement the sequential update via a </w:t>
      </w:r>
      <w:r w:rsidRPr="00A90CD1">
        <w:rPr>
          <w:rStyle w:val="VerbatimChar"/>
          <w:rFonts w:ascii="Times New Roman" w:hAnsi="Times New Roman" w:cs="Times New Roman"/>
          <w:sz w:val="24"/>
        </w:rPr>
        <w:t>for</w:t>
      </w:r>
      <w:r w:rsidRPr="00A90CD1">
        <w:rPr>
          <w:rFonts w:ascii="Times New Roman" w:hAnsi="Times New Roman" w:cs="Times New Roman"/>
        </w:rPr>
        <w:t xml:space="preserve"> loop. Run a fiscal expansion shock. Plot the dynamic path of GDP, consumption, money stock, and government deficit.</w:t>
      </w:r>
    </w:p>
    <w:p w14:paraId="0F81AB55"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lastRenderedPageBreak/>
        <w:t>Readings:</w:t>
      </w:r>
      <w:r w:rsidRPr="00A90CD1">
        <w:rPr>
          <w:rFonts w:ascii="Times New Roman" w:hAnsi="Times New Roman" w:cs="Times New Roman"/>
        </w:rPr>
        <w:t xml:space="preserve"> - Godley &amp; Lavoie (2007), Ch. 2 &amp; 3 - Copeland (1949), “Social Accounting for Moneyflows,” </w:t>
      </w:r>
      <w:r w:rsidRPr="00A90CD1">
        <w:rPr>
          <w:rFonts w:ascii="Times New Roman" w:hAnsi="Times New Roman" w:cs="Times New Roman"/>
          <w:i/>
          <w:iCs/>
        </w:rPr>
        <w:t>The Accounting Review</w:t>
      </w:r>
      <w:r w:rsidRPr="00A90CD1">
        <w:rPr>
          <w:rFonts w:ascii="Times New Roman" w:hAnsi="Times New Roman" w:cs="Times New Roman"/>
        </w:rPr>
        <w:t xml:space="preserve"> 24(3)</w:t>
      </w:r>
    </w:p>
    <w:p w14:paraId="7C969E30"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Problem Set 1 issued:</w:t>
      </w:r>
      <w:r w:rsidRPr="00A90CD1">
        <w:rPr>
          <w:rFonts w:ascii="Times New Roman" w:hAnsi="Times New Roman" w:cs="Times New Roman"/>
        </w:rPr>
        <w:t xml:space="preserve"> Implement Model SIM in R from scratch. Run two alternative shocks (one fiscal, one to the tax rate). Report dynamics and steady-state values. </w:t>
      </w:r>
      <w:r w:rsidRPr="00A90CD1">
        <w:rPr>
          <w:rFonts w:ascii="Times New Roman" w:hAnsi="Times New Roman" w:cs="Times New Roman"/>
          <w:b/>
          <w:bCs/>
        </w:rPr>
        <w:t>Due end of Week 3.</w:t>
      </w:r>
    </w:p>
    <w:p w14:paraId="393F8E20" w14:textId="6BA2ECBF" w:rsidR="005621D4" w:rsidRPr="00A90CD1" w:rsidRDefault="000542A4" w:rsidP="00A90CD1">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085B5525" wp14:editId="5D85A8A0">
                <wp:simplePos x="0" y="0"/>
                <wp:positionH relativeFrom="column">
                  <wp:posOffset>6985</wp:posOffset>
                </wp:positionH>
                <wp:positionV relativeFrom="paragraph">
                  <wp:posOffset>152400</wp:posOffset>
                </wp:positionV>
                <wp:extent cx="6019800" cy="0"/>
                <wp:effectExtent l="6985" t="5715" r="12065" b="13335"/>
                <wp:wrapNone/>
                <wp:docPr id="15887762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635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8426A0D" id="AutoShape 27" o:spid="_x0000_s1026" type="#_x0000_t32" style="position:absolute;margin-left:.55pt;margin-top:12pt;width:47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" strokecolor="black [3213]" strokeweight=".5pt">
                <v:shadow color="#7f7f7f [1601]" opacity=".5" offset="1pt"/>
              </v:shape>
            </w:pict>
          </mc:Fallback>
        </mc:AlternateContent>
      </w:r>
    </w:p>
    <w:p w14:paraId="563C30AC" w14:textId="7DCA008A" w:rsidR="005621D4" w:rsidRPr="00A90CD1" w:rsidRDefault="00000000" w:rsidP="00A90CD1">
      <w:pPr>
        <w:pStyle w:val="Heading3"/>
        <w:jc w:val="both"/>
        <w:rPr>
          <w:rFonts w:ascii="Times New Roman" w:hAnsi="Times New Roman" w:cs="Times New Roman"/>
          <w:color w:val="auto"/>
        </w:rPr>
      </w:pPr>
      <w:bookmarkStart w:id="8" w:name="week-3-portfolio-choice-and-model-pc"/>
      <w:bookmarkEnd w:id="7"/>
      <w:r w:rsidRPr="00A90CD1">
        <w:rPr>
          <w:rFonts w:ascii="Times New Roman" w:hAnsi="Times New Roman" w:cs="Times New Roman"/>
          <w:color w:val="auto"/>
        </w:rPr>
        <w:t xml:space="preserve">Week 3 </w:t>
      </w:r>
      <w:r w:rsidR="00D86AC4">
        <w:rPr>
          <w:rFonts w:ascii="Times New Roman" w:hAnsi="Times New Roman" w:cs="Times New Roman"/>
          <w:color w:val="auto"/>
        </w:rPr>
        <w:t>-</w:t>
      </w:r>
      <w:r w:rsidRPr="00A90CD1">
        <w:rPr>
          <w:rFonts w:ascii="Times New Roman" w:hAnsi="Times New Roman" w:cs="Times New Roman"/>
          <w:color w:val="auto"/>
        </w:rPr>
        <w:t xml:space="preserve"> Portfolio Choice and Model PC</w:t>
      </w:r>
    </w:p>
    <w:p w14:paraId="5E242886" w14:textId="77777777" w:rsidR="005621D4" w:rsidRPr="00A90CD1" w:rsidRDefault="00000000" w:rsidP="00A90CD1">
      <w:pPr>
        <w:pStyle w:val="FirstParagraph"/>
        <w:jc w:val="both"/>
        <w:rPr>
          <w:rFonts w:ascii="Times New Roman" w:hAnsi="Times New Roman" w:cs="Times New Roman"/>
        </w:rPr>
      </w:pPr>
      <w:r w:rsidRPr="00A90CD1">
        <w:rPr>
          <w:rFonts w:ascii="Times New Roman" w:hAnsi="Times New Roman" w:cs="Times New Roman"/>
          <w:b/>
          <w:bCs/>
        </w:rPr>
        <w:t>Block 1 (Theory):</w:t>
      </w:r>
      <w:r w:rsidRPr="00A90CD1">
        <w:rPr>
          <w:rFonts w:ascii="Times New Roman" w:hAnsi="Times New Roman" w:cs="Times New Roman"/>
        </w:rPr>
        <w:t xml:space="preserve"> Government bonds and household portfolio allocation. The Tobinian portfolio-choice framework (Tobin 1969, 1982). Vertical and horizontal portfolio constraints. Interest rates as policy instrument. Model PC (G&amp;L Ch. 4) end-to-end.</w:t>
      </w:r>
    </w:p>
    <w:p w14:paraId="2C33880E"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Block 2 (R Lab):</w:t>
      </w:r>
      <w:r w:rsidRPr="00A90CD1">
        <w:rPr>
          <w:rFonts w:ascii="Times New Roman" w:hAnsi="Times New Roman" w:cs="Times New Roman"/>
        </w:rPr>
        <w:t xml:space="preserve"> Implement Model PC in R. Add the portfolio allocation block to the SIM skeleton. Study the response to a change in the interest rate.</w:t>
      </w:r>
    </w:p>
    <w:p w14:paraId="4FF73FBA"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Readings:</w:t>
      </w:r>
      <w:r w:rsidRPr="00A90CD1">
        <w:rPr>
          <w:rFonts w:ascii="Times New Roman" w:hAnsi="Times New Roman" w:cs="Times New Roman"/>
        </w:rPr>
        <w:t xml:space="preserve"> - Godley &amp; Lavoie (2007), Ch. 4 - Tobin (1969), “A General Equilibrium Approach to Monetary Theory,” </w:t>
      </w:r>
      <w:r w:rsidRPr="00A90CD1">
        <w:rPr>
          <w:rFonts w:ascii="Times New Roman" w:hAnsi="Times New Roman" w:cs="Times New Roman"/>
          <w:i/>
          <w:iCs/>
        </w:rPr>
        <w:t>Journal of Money, Credit and Banking</w:t>
      </w:r>
      <w:r w:rsidRPr="00A90CD1">
        <w:rPr>
          <w:rFonts w:ascii="Times New Roman" w:hAnsi="Times New Roman" w:cs="Times New Roman"/>
        </w:rPr>
        <w:t xml:space="preserve"> 1(1)</w:t>
      </w:r>
    </w:p>
    <w:p w14:paraId="5B5496B7"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Problem Set 1 due.</w:t>
      </w:r>
    </w:p>
    <w:p w14:paraId="5726C3A5" w14:textId="6C6EDB53" w:rsidR="005621D4" w:rsidRPr="00A90CD1" w:rsidRDefault="000542A4" w:rsidP="00A90CD1">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085B5525" wp14:editId="14F0941D">
                <wp:simplePos x="0" y="0"/>
                <wp:positionH relativeFrom="column">
                  <wp:posOffset>-14605</wp:posOffset>
                </wp:positionH>
                <wp:positionV relativeFrom="paragraph">
                  <wp:posOffset>133985</wp:posOffset>
                </wp:positionV>
                <wp:extent cx="6019800" cy="0"/>
                <wp:effectExtent l="13970" t="9525" r="5080" b="9525"/>
                <wp:wrapNone/>
                <wp:docPr id="51286112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635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3D7BD77" id="AutoShape 28" o:spid="_x0000_s1026" type="#_x0000_t32" style="position:absolute;margin-left:-1.15pt;margin-top:10.55pt;width:47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" strokecolor="black [3213]" strokeweight=".5pt">
                <v:shadow color="#7f7f7f [1601]" opacity=".5" offset="1pt"/>
              </v:shape>
            </w:pict>
          </mc:Fallback>
        </mc:AlternateContent>
      </w:r>
    </w:p>
    <w:p w14:paraId="052C70A1" w14:textId="2D1F1748" w:rsidR="005621D4" w:rsidRPr="00A90CD1" w:rsidRDefault="00000000" w:rsidP="00A90CD1">
      <w:pPr>
        <w:pStyle w:val="Heading3"/>
        <w:jc w:val="both"/>
        <w:rPr>
          <w:rFonts w:ascii="Times New Roman" w:hAnsi="Times New Roman" w:cs="Times New Roman"/>
          <w:color w:val="auto"/>
        </w:rPr>
      </w:pPr>
      <w:bookmarkStart w:id="9" w:name="week-4-endogenous-money-and-banking"/>
      <w:bookmarkEnd w:id="8"/>
      <w:r w:rsidRPr="00A90CD1">
        <w:rPr>
          <w:rFonts w:ascii="Times New Roman" w:hAnsi="Times New Roman" w:cs="Times New Roman"/>
          <w:color w:val="auto"/>
        </w:rPr>
        <w:t xml:space="preserve">Week 4 </w:t>
      </w:r>
      <w:r w:rsidR="00D86AC4">
        <w:rPr>
          <w:rFonts w:ascii="Times New Roman" w:hAnsi="Times New Roman" w:cs="Times New Roman"/>
          <w:color w:val="auto"/>
        </w:rPr>
        <w:t>-</w:t>
      </w:r>
      <w:r w:rsidRPr="00A90CD1">
        <w:rPr>
          <w:rFonts w:ascii="Times New Roman" w:hAnsi="Times New Roman" w:cs="Times New Roman"/>
          <w:color w:val="auto"/>
        </w:rPr>
        <w:t xml:space="preserve"> Endogenous Money and Banking</w:t>
      </w:r>
    </w:p>
    <w:p w14:paraId="14E9823E" w14:textId="5D99C6E4" w:rsidR="005621D4" w:rsidRPr="00A90CD1" w:rsidRDefault="00000000" w:rsidP="00A90CD1">
      <w:pPr>
        <w:pStyle w:val="FirstParagraph"/>
        <w:jc w:val="both"/>
        <w:rPr>
          <w:rFonts w:ascii="Times New Roman" w:hAnsi="Times New Roman" w:cs="Times New Roman"/>
        </w:rPr>
      </w:pPr>
      <w:r w:rsidRPr="00A90CD1">
        <w:rPr>
          <w:rFonts w:ascii="Times New Roman" w:hAnsi="Times New Roman" w:cs="Times New Roman"/>
          <w:b/>
          <w:bCs/>
        </w:rPr>
        <w:t>Block 1 (Theory):</w:t>
      </w:r>
      <w:r w:rsidRPr="00A90CD1">
        <w:rPr>
          <w:rFonts w:ascii="Times New Roman" w:hAnsi="Times New Roman" w:cs="Times New Roman"/>
        </w:rPr>
        <w:t xml:space="preserve"> The post-Keynesian theory of endogenous money. Horizontalism vs. structuralism. The credit → deposit → reserve sequence (Lavoie 1984). Banks as profit-seekers in a horizontalist framework: mark-up over the policy rate. Reserve requirements and central-bank accommodation. Selected aspects of Model INSOUT (G&amp;L Ch. 10)</w:t>
      </w:r>
      <w:r w:rsidR="00D86AC4">
        <w:rPr>
          <w:rFonts w:ascii="Times New Roman" w:hAnsi="Times New Roman" w:cs="Times New Roman"/>
        </w:rPr>
        <w:t>,</w:t>
      </w:r>
      <w:r w:rsidRPr="00A90CD1">
        <w:rPr>
          <w:rFonts w:ascii="Times New Roman" w:hAnsi="Times New Roman" w:cs="Times New Roman"/>
        </w:rPr>
        <w:t xml:space="preserve"> the framework, not the full system</w:t>
      </w:r>
      <w:r w:rsidR="00D86AC4">
        <w:rPr>
          <w:rFonts w:ascii="Times New Roman" w:hAnsi="Times New Roman" w:cs="Times New Roman"/>
        </w:rPr>
        <w:t>,</w:t>
      </w:r>
      <w:r w:rsidRPr="00A90CD1">
        <w:rPr>
          <w:rFonts w:ascii="Times New Roman" w:hAnsi="Times New Roman" w:cs="Times New Roman"/>
        </w:rPr>
        <w:t xml:space="preserve"> alongside the simpler horizontalist setup that underlies Özden (2025).</w:t>
      </w:r>
    </w:p>
    <w:p w14:paraId="5D364F60"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Block 2 (R Lab):</w:t>
      </w:r>
      <w:r w:rsidRPr="00A90CD1">
        <w:rPr>
          <w:rFonts w:ascii="Times New Roman" w:hAnsi="Times New Roman" w:cs="Times New Roman"/>
        </w:rPr>
        <w:t xml:space="preserve"> Add a banking sector to the PC-style framework. Implement the credit-deposit-reserve sequence. Distinguish loan rate, deposit rate, and policy rate.</w:t>
      </w:r>
    </w:p>
    <w:p w14:paraId="07900153" w14:textId="6F6FFE81"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Readings:</w:t>
      </w:r>
      <w:r w:rsidRPr="00A90CD1">
        <w:rPr>
          <w:rFonts w:ascii="Times New Roman" w:hAnsi="Times New Roman" w:cs="Times New Roman"/>
        </w:rPr>
        <w:t xml:space="preserve"> - Godley &amp; Lavoie (2007), Ch. 10 (selected sections  to be specified) - Lavoie (2022), </w:t>
      </w:r>
      <w:r w:rsidRPr="00A90CD1">
        <w:rPr>
          <w:rFonts w:ascii="Times New Roman" w:hAnsi="Times New Roman" w:cs="Times New Roman"/>
          <w:i/>
          <w:iCs/>
        </w:rPr>
        <w:t>Post-Keynesian Economics: New Foundations</w:t>
      </w:r>
      <w:r w:rsidRPr="00A90CD1">
        <w:rPr>
          <w:rFonts w:ascii="Times New Roman" w:hAnsi="Times New Roman" w:cs="Times New Roman"/>
        </w:rPr>
        <w:t xml:space="preserve"> (2nd ed.), Ch. 4-6 - Moore (1988), </w:t>
      </w:r>
      <w:r w:rsidRPr="00A90CD1">
        <w:rPr>
          <w:rFonts w:ascii="Times New Roman" w:hAnsi="Times New Roman" w:cs="Times New Roman"/>
          <w:i/>
          <w:iCs/>
        </w:rPr>
        <w:t>Horizontalists and Verticalists</w:t>
      </w:r>
      <w:r w:rsidRPr="00A90CD1">
        <w:rPr>
          <w:rFonts w:ascii="Times New Roman" w:hAnsi="Times New Roman" w:cs="Times New Roman"/>
        </w:rPr>
        <w:t>, Ch. 1-2 (selections)</w:t>
      </w:r>
    </w:p>
    <w:p w14:paraId="3A8F92C3" w14:textId="65C4AF60" w:rsidR="005621D4" w:rsidRPr="00A90CD1" w:rsidRDefault="000542A4" w:rsidP="00A90CD1">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085B5525" wp14:editId="1EACC9C1">
                <wp:simplePos x="0" y="0"/>
                <wp:positionH relativeFrom="column">
                  <wp:posOffset>-81915</wp:posOffset>
                </wp:positionH>
                <wp:positionV relativeFrom="paragraph">
                  <wp:posOffset>210185</wp:posOffset>
                </wp:positionV>
                <wp:extent cx="6019800" cy="0"/>
                <wp:effectExtent l="13335" t="13970" r="5715" b="5080"/>
                <wp:wrapNone/>
                <wp:docPr id="203687027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635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B519C34" id="AutoShape 29" o:spid="_x0000_s1026" type="#_x0000_t32" style="position:absolute;margin-left:-6.45pt;margin-top:16.55pt;width:47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" strokecolor="black [3213]" strokeweight=".5pt">
                <v:shadow color="#7f7f7f [1601]" opacity=".5" offset="1pt"/>
              </v:shape>
            </w:pict>
          </mc:Fallback>
        </mc:AlternateContent>
      </w:r>
    </w:p>
    <w:p w14:paraId="30FE12DD" w14:textId="29DC7C8B" w:rsidR="005621D4" w:rsidRPr="00A90CD1" w:rsidRDefault="00000000" w:rsidP="00A90CD1">
      <w:pPr>
        <w:pStyle w:val="Heading3"/>
        <w:jc w:val="both"/>
        <w:rPr>
          <w:rFonts w:ascii="Times New Roman" w:hAnsi="Times New Roman" w:cs="Times New Roman"/>
          <w:color w:val="auto"/>
        </w:rPr>
      </w:pPr>
      <w:bookmarkStart w:id="10" w:name="Xd7022288aaedfb890c0bd8cd4966973290a2dcc"/>
      <w:bookmarkEnd w:id="9"/>
      <w:r w:rsidRPr="00A90CD1">
        <w:rPr>
          <w:rFonts w:ascii="Times New Roman" w:hAnsi="Times New Roman" w:cs="Times New Roman"/>
          <w:color w:val="auto"/>
        </w:rPr>
        <w:t xml:space="preserve">Week 5 </w:t>
      </w:r>
      <w:r w:rsidR="00D86AC4">
        <w:rPr>
          <w:rFonts w:ascii="Times New Roman" w:hAnsi="Times New Roman" w:cs="Times New Roman"/>
          <w:color w:val="auto"/>
        </w:rPr>
        <w:t>-</w:t>
      </w:r>
      <w:r w:rsidRPr="00A90CD1">
        <w:rPr>
          <w:rFonts w:ascii="Times New Roman" w:hAnsi="Times New Roman" w:cs="Times New Roman"/>
          <w:color w:val="auto"/>
        </w:rPr>
        <w:t xml:space="preserve"> Production, Investment, and Capital Accumulation </w:t>
      </w:r>
      <w:r w:rsidR="00D86AC4">
        <w:rPr>
          <w:rFonts w:ascii="Times New Roman" w:hAnsi="Times New Roman" w:cs="Times New Roman"/>
          <w:color w:val="auto"/>
        </w:rPr>
        <w:t>-</w:t>
      </w:r>
      <w:r w:rsidRPr="00A90CD1">
        <w:rPr>
          <w:rFonts w:ascii="Times New Roman" w:hAnsi="Times New Roman" w:cs="Times New Roman"/>
          <w:color w:val="auto"/>
        </w:rPr>
        <w:t xml:space="preserve"> Model BMW</w:t>
      </w:r>
    </w:p>
    <w:p w14:paraId="1E2681D4" w14:textId="77777777" w:rsidR="005621D4" w:rsidRPr="00A90CD1" w:rsidRDefault="00000000" w:rsidP="00A90CD1">
      <w:pPr>
        <w:pStyle w:val="FirstParagraph"/>
        <w:jc w:val="both"/>
        <w:rPr>
          <w:rFonts w:ascii="Times New Roman" w:hAnsi="Times New Roman" w:cs="Times New Roman"/>
        </w:rPr>
      </w:pPr>
      <w:r w:rsidRPr="00A90CD1">
        <w:rPr>
          <w:rFonts w:ascii="Times New Roman" w:hAnsi="Times New Roman" w:cs="Times New Roman"/>
          <w:b/>
          <w:bCs/>
        </w:rPr>
        <w:t>Block 1 (Theory):</w:t>
      </w:r>
      <w:r w:rsidRPr="00A90CD1">
        <w:rPr>
          <w:rFonts w:ascii="Times New Roman" w:hAnsi="Times New Roman" w:cs="Times New Roman"/>
        </w:rPr>
        <w:t xml:space="preserve"> Kaleckian investment theory: the accelerator and animal spirits. Capital accumulation as a stock-flow articulation. Firms’ financing decisions: internal vs. external finance, retained earnings vs. bank credit vs. equity. Gross operating surplus, net operating surplus, dividend distribution. Model BMW (G&amp;L Ch. 7) walkthrough.</w:t>
      </w:r>
    </w:p>
    <w:p w14:paraId="464F57D0"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Block 2 (R Lab):</w:t>
      </w:r>
      <w:r w:rsidRPr="00A90CD1">
        <w:rPr>
          <w:rFonts w:ascii="Times New Roman" w:hAnsi="Times New Roman" w:cs="Times New Roman"/>
        </w:rPr>
        <w:t xml:space="preserve"> Implement Model BMW. Add the production sector, investment function, and capital dynamics to the running framework. Investigate the dynamics following an investment shock.</w:t>
      </w:r>
    </w:p>
    <w:p w14:paraId="6CE8B06F" w14:textId="58A7E841"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lastRenderedPageBreak/>
        <w:t>Readings:</w:t>
      </w:r>
      <w:r w:rsidRPr="00A90CD1">
        <w:rPr>
          <w:rFonts w:ascii="Times New Roman" w:hAnsi="Times New Roman" w:cs="Times New Roman"/>
        </w:rPr>
        <w:t xml:space="preserve"> - Godley &amp; Lavoie (2007), Ch. 7-8 - Lavoie (2022), Ch. 6</w:t>
      </w:r>
    </w:p>
    <w:p w14:paraId="35C5856A"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Problem Set 2 issued:</w:t>
      </w:r>
      <w:r w:rsidRPr="00A90CD1">
        <w:rPr>
          <w:rFonts w:ascii="Times New Roman" w:hAnsi="Times New Roman" w:cs="Times New Roman"/>
        </w:rPr>
        <w:t xml:space="preserve"> Construct a model that combines portfolio choice (PC) and production (BMW). Derive its steady state. Run two shocks of your choice. </w:t>
      </w:r>
      <w:r w:rsidRPr="00A90CD1">
        <w:rPr>
          <w:rFonts w:ascii="Times New Roman" w:hAnsi="Times New Roman" w:cs="Times New Roman"/>
          <w:b/>
          <w:bCs/>
        </w:rPr>
        <w:t>Due end of Week 6.</w:t>
      </w:r>
    </w:p>
    <w:p w14:paraId="759C0D58"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Final project topic announcement:</w:t>
      </w:r>
      <w:r w:rsidRPr="00A90CD1">
        <w:rPr>
          <w:rFonts w:ascii="Times New Roman" w:hAnsi="Times New Roman" w:cs="Times New Roman"/>
        </w:rPr>
        <w:t xml:space="preserve"> Students are informed of the final-project format. Initial topic ideas will be discussed in office hours starting Week 6.</w:t>
      </w:r>
    </w:p>
    <w:p w14:paraId="7EB8E100" w14:textId="442B48D8" w:rsidR="005621D4" w:rsidRPr="00A90CD1" w:rsidRDefault="000542A4" w:rsidP="00A90CD1">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085B5525" wp14:editId="16A146F1">
                <wp:simplePos x="0" y="0"/>
                <wp:positionH relativeFrom="column">
                  <wp:posOffset>-80645</wp:posOffset>
                </wp:positionH>
                <wp:positionV relativeFrom="paragraph">
                  <wp:posOffset>119380</wp:posOffset>
                </wp:positionV>
                <wp:extent cx="6019800" cy="0"/>
                <wp:effectExtent l="5080" t="5080" r="13970" b="13970"/>
                <wp:wrapNone/>
                <wp:docPr id="128081138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635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F50610A" id="AutoShape 30" o:spid="_x0000_s1026" type="#_x0000_t32" style="position:absolute;margin-left:-6.35pt;margin-top:9.4pt;width:474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" strokecolor="black [3213]" strokeweight=".5pt">
                <v:shadow color="#7f7f7f [1601]" opacity=".5" offset="1pt"/>
              </v:shape>
            </w:pict>
          </mc:Fallback>
        </mc:AlternateContent>
      </w:r>
    </w:p>
    <w:p w14:paraId="159CBCE8" w14:textId="0886024F" w:rsidR="005621D4" w:rsidRPr="00A90CD1" w:rsidRDefault="00000000" w:rsidP="00A90CD1">
      <w:pPr>
        <w:pStyle w:val="Heading3"/>
        <w:jc w:val="both"/>
        <w:rPr>
          <w:rFonts w:ascii="Times New Roman" w:hAnsi="Times New Roman" w:cs="Times New Roman"/>
          <w:color w:val="auto"/>
        </w:rPr>
      </w:pPr>
      <w:bookmarkStart w:id="11" w:name="X82b089960efd876703ba39f1307f90f5482e0e9"/>
      <w:bookmarkEnd w:id="10"/>
      <w:r w:rsidRPr="00A90CD1">
        <w:rPr>
          <w:rFonts w:ascii="Times New Roman" w:hAnsi="Times New Roman" w:cs="Times New Roman"/>
          <w:color w:val="auto"/>
        </w:rPr>
        <w:t xml:space="preserve">Week 6 </w:t>
      </w:r>
      <w:r w:rsidR="00D86AC4">
        <w:rPr>
          <w:rFonts w:ascii="Times New Roman" w:hAnsi="Times New Roman" w:cs="Times New Roman"/>
          <w:color w:val="auto"/>
        </w:rPr>
        <w:t>-</w:t>
      </w:r>
      <w:r w:rsidRPr="00A90CD1">
        <w:rPr>
          <w:rFonts w:ascii="Times New Roman" w:hAnsi="Times New Roman" w:cs="Times New Roman"/>
          <w:color w:val="auto"/>
        </w:rPr>
        <w:t xml:space="preserve"> Conflicting-Claims Inflation and Model DIS</w:t>
      </w:r>
    </w:p>
    <w:p w14:paraId="3907C628" w14:textId="77777777" w:rsidR="005621D4" w:rsidRPr="00A90CD1" w:rsidRDefault="00000000" w:rsidP="00A90CD1">
      <w:pPr>
        <w:pStyle w:val="FirstParagraph"/>
        <w:jc w:val="both"/>
        <w:rPr>
          <w:rFonts w:ascii="Times New Roman" w:hAnsi="Times New Roman" w:cs="Times New Roman"/>
        </w:rPr>
      </w:pPr>
      <w:r w:rsidRPr="00A90CD1">
        <w:rPr>
          <w:rFonts w:ascii="Times New Roman" w:hAnsi="Times New Roman" w:cs="Times New Roman"/>
          <w:b/>
          <w:bCs/>
        </w:rPr>
        <w:t>Block 1 (Theory):</w:t>
      </w:r>
      <w:r w:rsidRPr="00A90CD1">
        <w:rPr>
          <w:rFonts w:ascii="Times New Roman" w:hAnsi="Times New Roman" w:cs="Times New Roman"/>
        </w:rPr>
        <w:t xml:space="preserve"> Inflation as distributive conflict. Mark-up pricing under oligopolistic competition (Kalecki). The wage-targeting framework (G&amp;L Ch. 9): how workers form a wage target, how nominal wages adjust toward it, how the adjustment speed reflects bargaining power. Real wage dynamics in the price-wage spiral. Rowthorn (1977) and the foundational conflicting-claims framework.</w:t>
      </w:r>
    </w:p>
    <w:p w14:paraId="7A49B702"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Block 2 (R Lab):</w:t>
      </w:r>
      <w:r w:rsidRPr="00A90CD1">
        <w:rPr>
          <w:rFonts w:ascii="Times New Roman" w:hAnsi="Times New Roman" w:cs="Times New Roman"/>
        </w:rPr>
        <w:t xml:space="preserve"> Implement the wage-price spiral in a DIS-style model. Run a mark-up shock and observe the wage-price dynamics. Decompose the inflation path into mark-up vs. unit-cost components.</w:t>
      </w:r>
    </w:p>
    <w:p w14:paraId="78FEB6B1"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Readings:</w:t>
      </w:r>
      <w:r w:rsidRPr="00A90CD1">
        <w:rPr>
          <w:rFonts w:ascii="Times New Roman" w:hAnsi="Times New Roman" w:cs="Times New Roman"/>
        </w:rPr>
        <w:t xml:space="preserve"> - Godley &amp; Lavoie (2007), Ch. 9 - Rowthorn (1977), “Conflict, Inflation and Money,” </w:t>
      </w:r>
      <w:r w:rsidRPr="00A90CD1">
        <w:rPr>
          <w:rFonts w:ascii="Times New Roman" w:hAnsi="Times New Roman" w:cs="Times New Roman"/>
          <w:i/>
          <w:iCs/>
        </w:rPr>
        <w:t>Cambridge Journal of Economics</w:t>
      </w:r>
      <w:r w:rsidRPr="00A90CD1">
        <w:rPr>
          <w:rFonts w:ascii="Times New Roman" w:hAnsi="Times New Roman" w:cs="Times New Roman"/>
        </w:rPr>
        <w:t xml:space="preserve"> 1(3) - Lavoie (2022), Ch. 8</w:t>
      </w:r>
    </w:p>
    <w:p w14:paraId="5EB3A4F3" w14:textId="7073EBD9" w:rsidR="005621D4" w:rsidRPr="00A90CD1" w:rsidRDefault="000542A4" w:rsidP="00A90CD1">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085B5525" wp14:editId="6BC7F0F6">
                <wp:simplePos x="0" y="0"/>
                <wp:positionH relativeFrom="column">
                  <wp:posOffset>-80645</wp:posOffset>
                </wp:positionH>
                <wp:positionV relativeFrom="paragraph">
                  <wp:posOffset>156210</wp:posOffset>
                </wp:positionV>
                <wp:extent cx="6019800" cy="0"/>
                <wp:effectExtent l="5080" t="5080" r="13970" b="13970"/>
                <wp:wrapNone/>
                <wp:docPr id="139344700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635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3D2E7BF" id="AutoShape 31" o:spid="_x0000_s1026" type="#_x0000_t32" style="position:absolute;margin-left:-6.35pt;margin-top:12.3pt;width:474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" strokecolor="black [3213]" strokeweight=".5pt">
                <v:shadow color="#7f7f7f [1601]" opacity=".5" offset="1pt"/>
              </v:shape>
            </w:pict>
          </mc:Fallback>
        </mc:AlternateContent>
      </w:r>
    </w:p>
    <w:p w14:paraId="2CCBF9D6" w14:textId="46F8F16E" w:rsidR="005621D4" w:rsidRPr="00A90CD1" w:rsidRDefault="00000000" w:rsidP="00A90CD1">
      <w:pPr>
        <w:pStyle w:val="Heading3"/>
        <w:jc w:val="both"/>
        <w:rPr>
          <w:rFonts w:ascii="Times New Roman" w:hAnsi="Times New Roman" w:cs="Times New Roman"/>
          <w:color w:val="auto"/>
        </w:rPr>
      </w:pPr>
      <w:bookmarkStart w:id="12" w:name="Xfcbcceccca6404e574de6801df950451f398641"/>
      <w:bookmarkEnd w:id="11"/>
      <w:r w:rsidRPr="00A90CD1">
        <w:rPr>
          <w:rFonts w:ascii="Times New Roman" w:hAnsi="Times New Roman" w:cs="Times New Roman"/>
          <w:color w:val="auto"/>
        </w:rPr>
        <w:t xml:space="preserve">Week 7 </w:t>
      </w:r>
      <w:r w:rsidR="00D86AC4">
        <w:rPr>
          <w:rFonts w:ascii="Times New Roman" w:hAnsi="Times New Roman" w:cs="Times New Roman"/>
          <w:color w:val="auto"/>
        </w:rPr>
        <w:t>-</w:t>
      </w:r>
      <w:r w:rsidRPr="00A90CD1">
        <w:rPr>
          <w:rFonts w:ascii="Times New Roman" w:hAnsi="Times New Roman" w:cs="Times New Roman"/>
          <w:color w:val="auto"/>
        </w:rPr>
        <w:t xml:space="preserve"> Transition: Pasinettian Two-Household Structure and the Architecture of the Benchmark</w:t>
      </w:r>
    </w:p>
    <w:p w14:paraId="283C4E60" w14:textId="0AAF5F9F" w:rsidR="005621D4" w:rsidRPr="00A90CD1" w:rsidRDefault="00000000" w:rsidP="00A90CD1">
      <w:pPr>
        <w:pStyle w:val="FirstParagraph"/>
        <w:jc w:val="both"/>
        <w:rPr>
          <w:rFonts w:ascii="Times New Roman" w:hAnsi="Times New Roman" w:cs="Times New Roman"/>
        </w:rPr>
      </w:pPr>
      <w:r w:rsidRPr="00A90CD1">
        <w:rPr>
          <w:rFonts w:ascii="Times New Roman" w:hAnsi="Times New Roman" w:cs="Times New Roman"/>
          <w:b/>
          <w:bCs/>
        </w:rPr>
        <w:t>Block 1 (Theory):</w:t>
      </w:r>
      <w:r w:rsidRPr="00A90CD1">
        <w:rPr>
          <w:rFonts w:ascii="Times New Roman" w:hAnsi="Times New Roman" w:cs="Times New Roman"/>
        </w:rPr>
        <w:t xml:space="preserve"> This is the bridge between the canonical Godley-Lavoie tradition and the</w:t>
      </w:r>
      <w:r w:rsidR="00D86AC4">
        <w:rPr>
          <w:rFonts w:ascii="Times New Roman" w:hAnsi="Times New Roman" w:cs="Times New Roman"/>
        </w:rPr>
        <w:t xml:space="preserve"> Özden’s</w:t>
      </w:r>
      <w:r w:rsidRPr="00A90CD1">
        <w:rPr>
          <w:rFonts w:ascii="Times New Roman" w:hAnsi="Times New Roman" w:cs="Times New Roman"/>
        </w:rPr>
        <w:t xml:space="preserve"> thesis benchmark. Three questions are addressed:</w:t>
      </w:r>
    </w:p>
    <w:p w14:paraId="2C97853A" w14:textId="2FB78741" w:rsidR="005621D4" w:rsidRPr="00A90CD1" w:rsidRDefault="00000000" w:rsidP="00A90CD1">
      <w:pPr>
        <w:pStyle w:val="Compact"/>
        <w:numPr>
          <w:ilvl w:val="0"/>
          <w:numId w:val="3"/>
        </w:numPr>
        <w:jc w:val="both"/>
        <w:rPr>
          <w:rFonts w:ascii="Times New Roman" w:hAnsi="Times New Roman" w:cs="Times New Roman"/>
        </w:rPr>
      </w:pPr>
      <w:r w:rsidRPr="00A90CD1">
        <w:rPr>
          <w:rFonts w:ascii="Times New Roman" w:hAnsi="Times New Roman" w:cs="Times New Roman"/>
          <w:i/>
          <w:iCs/>
        </w:rPr>
        <w:t>Why does inflation analysis require disaggregating the household sector?</w:t>
      </w:r>
      <w:r w:rsidRPr="00A90CD1">
        <w:rPr>
          <w:rFonts w:ascii="Times New Roman" w:hAnsi="Times New Roman" w:cs="Times New Roman"/>
        </w:rPr>
        <w:t xml:space="preserve"> The single-household assumption obscures the distributional channel of inflation</w:t>
      </w:r>
      <w:r w:rsidR="00D86AC4">
        <w:rPr>
          <w:rFonts w:ascii="Times New Roman" w:hAnsi="Times New Roman" w:cs="Times New Roman"/>
        </w:rPr>
        <w:t>;</w:t>
      </w:r>
      <w:r w:rsidRPr="00A90CD1">
        <w:rPr>
          <w:rFonts w:ascii="Times New Roman" w:hAnsi="Times New Roman" w:cs="Times New Roman"/>
        </w:rPr>
        <w:t xml:space="preserve"> yet distributional dynamics are the very thing the post-Keynesian framework aims to capture. We motivate the two-household structure via Pasinetti (1974, Ch. 4).</w:t>
      </w:r>
    </w:p>
    <w:p w14:paraId="4BDEDF6E" w14:textId="77777777" w:rsidR="005621D4" w:rsidRPr="00A90CD1" w:rsidRDefault="00000000" w:rsidP="00A90CD1">
      <w:pPr>
        <w:pStyle w:val="Compact"/>
        <w:numPr>
          <w:ilvl w:val="0"/>
          <w:numId w:val="3"/>
        </w:numPr>
        <w:jc w:val="both"/>
        <w:rPr>
          <w:rFonts w:ascii="Times New Roman" w:hAnsi="Times New Roman" w:cs="Times New Roman"/>
        </w:rPr>
      </w:pPr>
      <w:r w:rsidRPr="00A90CD1">
        <w:rPr>
          <w:rFonts w:ascii="Times New Roman" w:hAnsi="Times New Roman" w:cs="Times New Roman"/>
          <w:i/>
          <w:iCs/>
        </w:rPr>
        <w:t>How does the Pasinettian assumption (workers do not save; rentiers do) change model behavior?</w:t>
      </w:r>
      <w:r w:rsidRPr="00A90CD1">
        <w:rPr>
          <w:rFonts w:ascii="Times New Roman" w:hAnsi="Times New Roman" w:cs="Times New Roman"/>
        </w:rPr>
        <w:t xml:space="preserve"> The implications for consumption, wealth accumulation, and the distribution of capital income.</w:t>
      </w:r>
    </w:p>
    <w:p w14:paraId="402E653D" w14:textId="42443828" w:rsidR="005621D4" w:rsidRPr="00A90CD1" w:rsidRDefault="00000000" w:rsidP="00A90CD1">
      <w:pPr>
        <w:pStyle w:val="Compact"/>
        <w:numPr>
          <w:ilvl w:val="0"/>
          <w:numId w:val="3"/>
        </w:numPr>
        <w:jc w:val="both"/>
        <w:rPr>
          <w:rFonts w:ascii="Times New Roman" w:hAnsi="Times New Roman" w:cs="Times New Roman"/>
        </w:rPr>
      </w:pPr>
      <w:r w:rsidRPr="00A90CD1">
        <w:rPr>
          <w:rFonts w:ascii="Times New Roman" w:hAnsi="Times New Roman" w:cs="Times New Roman"/>
          <w:i/>
          <w:iCs/>
        </w:rPr>
        <w:t>Why does the G&amp;L Ch. 9 wage equation need to be extended?</w:t>
      </w:r>
      <w:r w:rsidRPr="00A90CD1">
        <w:rPr>
          <w:rFonts w:ascii="Times New Roman" w:hAnsi="Times New Roman" w:cs="Times New Roman"/>
        </w:rPr>
        <w:t xml:space="preserve"> We need two wage equations</w:t>
      </w:r>
      <w:r w:rsidR="009F5E29">
        <w:rPr>
          <w:rFonts w:ascii="Times New Roman" w:hAnsi="Times New Roman" w:cs="Times New Roman"/>
        </w:rPr>
        <w:t>,</w:t>
      </w:r>
      <w:r w:rsidRPr="00A90CD1">
        <w:rPr>
          <w:rFonts w:ascii="Times New Roman" w:hAnsi="Times New Roman" w:cs="Times New Roman"/>
        </w:rPr>
        <w:t xml:space="preserve"> one for workers, one for rentiers</w:t>
      </w:r>
      <w:r w:rsidR="009F5E29">
        <w:rPr>
          <w:rFonts w:ascii="Times New Roman" w:hAnsi="Times New Roman" w:cs="Times New Roman"/>
        </w:rPr>
        <w:t>,</w:t>
      </w:r>
      <w:r w:rsidRPr="00A90CD1">
        <w:rPr>
          <w:rFonts w:ascii="Times New Roman" w:hAnsi="Times New Roman" w:cs="Times New Roman"/>
        </w:rPr>
        <w:t xml:space="preserve"> with different bargaining parameters and adjustment speeds. This is the foundation of the conflicting-claims structure in Özden (2025, eq. 4.46-4.47).</w:t>
      </w:r>
    </w:p>
    <w:p w14:paraId="4EEEACAD" w14:textId="3D054F3A" w:rsidR="005621D4" w:rsidRPr="00A90CD1" w:rsidRDefault="00000000" w:rsidP="00A90CD1">
      <w:pPr>
        <w:pStyle w:val="FirstParagraph"/>
        <w:jc w:val="both"/>
        <w:rPr>
          <w:rFonts w:ascii="Times New Roman" w:hAnsi="Times New Roman" w:cs="Times New Roman"/>
        </w:rPr>
      </w:pPr>
      <w:r w:rsidRPr="00A90CD1">
        <w:rPr>
          <w:rFonts w:ascii="Times New Roman" w:hAnsi="Times New Roman" w:cs="Times New Roman"/>
          <w:b/>
          <w:bCs/>
        </w:rPr>
        <w:t>Block 2 (R Lab):</w:t>
      </w:r>
      <w:r w:rsidRPr="00A90CD1">
        <w:rPr>
          <w:rFonts w:ascii="Times New Roman" w:hAnsi="Times New Roman" w:cs="Times New Roman"/>
        </w:rPr>
        <w:t xml:space="preserve"> Extend the DIS model from Week 6 to include two household groups. Two wage equations with distinct adjustment speeds. Observe how the same mark-up shock produces different distributional dynamics depending on the relative bargaining power of the two groups.</w:t>
      </w:r>
    </w:p>
    <w:p w14:paraId="356348AF"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lastRenderedPageBreak/>
        <w:t>Readings:</w:t>
      </w:r>
      <w:r w:rsidRPr="00A90CD1">
        <w:rPr>
          <w:rFonts w:ascii="Times New Roman" w:hAnsi="Times New Roman" w:cs="Times New Roman"/>
        </w:rPr>
        <w:t xml:space="preserve"> - Pasinetti (1974), </w:t>
      </w:r>
      <w:r w:rsidRPr="00A90CD1">
        <w:rPr>
          <w:rFonts w:ascii="Times New Roman" w:hAnsi="Times New Roman" w:cs="Times New Roman"/>
          <w:i/>
          <w:iCs/>
        </w:rPr>
        <w:t>Growth and Income Distribution</w:t>
      </w:r>
      <w:r w:rsidRPr="00A90CD1">
        <w:rPr>
          <w:rFonts w:ascii="Times New Roman" w:hAnsi="Times New Roman" w:cs="Times New Roman"/>
        </w:rPr>
        <w:t xml:space="preserve">, Ch. 4 - Özden (2025), thesis Ch. 4.1.1, 4.1.2, 4.1.7 - Carvalho &amp; Rezai (2016), “Personal income inequality and aggregate demand,” </w:t>
      </w:r>
      <w:r w:rsidRPr="00A90CD1">
        <w:rPr>
          <w:rFonts w:ascii="Times New Roman" w:hAnsi="Times New Roman" w:cs="Times New Roman"/>
          <w:i/>
          <w:iCs/>
        </w:rPr>
        <w:t>Cambridge Journal of Economics</w:t>
      </w:r>
      <w:r w:rsidRPr="00A90CD1">
        <w:rPr>
          <w:rFonts w:ascii="Times New Roman" w:hAnsi="Times New Roman" w:cs="Times New Roman"/>
        </w:rPr>
        <w:t xml:space="preserve"> 40(2)</w:t>
      </w:r>
    </w:p>
    <w:p w14:paraId="3CE82144"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Problem Set 2 due.</w:t>
      </w:r>
    </w:p>
    <w:p w14:paraId="3050F051" w14:textId="0085198B" w:rsidR="005621D4" w:rsidRPr="00A90CD1" w:rsidRDefault="000542A4" w:rsidP="00A90CD1">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085B5525" wp14:editId="55A39B2E">
                <wp:simplePos x="0" y="0"/>
                <wp:positionH relativeFrom="column">
                  <wp:posOffset>8255</wp:posOffset>
                </wp:positionH>
                <wp:positionV relativeFrom="paragraph">
                  <wp:posOffset>88900</wp:posOffset>
                </wp:positionV>
                <wp:extent cx="6019800" cy="0"/>
                <wp:effectExtent l="8255" t="8890" r="10795" b="10160"/>
                <wp:wrapNone/>
                <wp:docPr id="14723218"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635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67F4CFB" id="AutoShape 32" o:spid="_x0000_s1026" type="#_x0000_t32" style="position:absolute;margin-left:.65pt;margin-top:7pt;width:474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" strokecolor="black [3213]" strokeweight=".5pt">
                <v:shadow color="#7f7f7f [1601]" opacity=".5" offset="1pt"/>
              </v:shape>
            </w:pict>
          </mc:Fallback>
        </mc:AlternateContent>
      </w:r>
    </w:p>
    <w:p w14:paraId="2C201943" w14:textId="68EFA104" w:rsidR="005621D4" w:rsidRPr="00A90CD1" w:rsidRDefault="00000000" w:rsidP="00A90CD1">
      <w:pPr>
        <w:pStyle w:val="Heading3"/>
        <w:jc w:val="both"/>
        <w:rPr>
          <w:rFonts w:ascii="Times New Roman" w:hAnsi="Times New Roman" w:cs="Times New Roman"/>
          <w:color w:val="auto"/>
        </w:rPr>
      </w:pPr>
      <w:bookmarkStart w:id="13" w:name="X7e8e85bfa549e6e8e86bf181989a1a794b925a7"/>
      <w:bookmarkEnd w:id="12"/>
      <w:r w:rsidRPr="00A90CD1">
        <w:rPr>
          <w:rFonts w:ascii="Times New Roman" w:hAnsi="Times New Roman" w:cs="Times New Roman"/>
          <w:color w:val="auto"/>
        </w:rPr>
        <w:t xml:space="preserve">Week 8 </w:t>
      </w:r>
      <w:r w:rsidR="00D86AC4">
        <w:rPr>
          <w:rFonts w:ascii="Times New Roman" w:hAnsi="Times New Roman" w:cs="Times New Roman"/>
          <w:color w:val="auto"/>
        </w:rPr>
        <w:t>-</w:t>
      </w:r>
      <w:r w:rsidRPr="00A90CD1">
        <w:rPr>
          <w:rFonts w:ascii="Times New Roman" w:hAnsi="Times New Roman" w:cs="Times New Roman"/>
          <w:color w:val="auto"/>
        </w:rPr>
        <w:t xml:space="preserve"> Assembling the Benchmark: Sectors and Closure</w:t>
      </w:r>
    </w:p>
    <w:p w14:paraId="6675DDE7" w14:textId="77777777" w:rsidR="005621D4" w:rsidRPr="00A90CD1" w:rsidRDefault="00000000" w:rsidP="00A90CD1">
      <w:pPr>
        <w:pStyle w:val="FirstParagraph"/>
        <w:jc w:val="both"/>
        <w:rPr>
          <w:rFonts w:ascii="Times New Roman" w:hAnsi="Times New Roman" w:cs="Times New Roman"/>
        </w:rPr>
      </w:pPr>
      <w:r w:rsidRPr="00A90CD1">
        <w:rPr>
          <w:rFonts w:ascii="Times New Roman" w:hAnsi="Times New Roman" w:cs="Times New Roman"/>
          <w:b/>
          <w:bCs/>
        </w:rPr>
        <w:t>Block 1 (Theory):</w:t>
      </w:r>
      <w:r w:rsidRPr="00A90CD1">
        <w:rPr>
          <w:rFonts w:ascii="Times New Roman" w:hAnsi="Times New Roman" w:cs="Times New Roman"/>
        </w:rPr>
        <w:t xml:space="preserve"> Walk through the six sectors of the Özden (2025, Ch. 4) benchmark systematically: (i) worker households, (ii) rentier households, (iii) non-financial corporations, (iv) financial sector (banks), (v) central bank, (vi) public sector. For each sector: balance sheet, behavioral equations, identity equations, the role in the closed-economy circuit. The full TFM. The 49 behavioral equations.</w:t>
      </w:r>
    </w:p>
    <w:p w14:paraId="52CEDA75"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Block 2 (R Lab):</w:t>
      </w:r>
      <w:r w:rsidRPr="00A90CD1">
        <w:rPr>
          <w:rFonts w:ascii="Times New Roman" w:hAnsi="Times New Roman" w:cs="Times New Roman"/>
        </w:rPr>
        <w:t xml:space="preserve"> Code each sector as a separate module. Connect via the TFM. By the end of the session, students have a runnable (if not yet fully calibrated) closed-economy benchmark.</w:t>
      </w:r>
    </w:p>
    <w:p w14:paraId="649F97CA"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Readings:</w:t>
      </w:r>
      <w:r w:rsidRPr="00A90CD1">
        <w:rPr>
          <w:rFonts w:ascii="Times New Roman" w:hAnsi="Times New Roman" w:cs="Times New Roman"/>
        </w:rPr>
        <w:t xml:space="preserve"> - Özden (2025), thesis Ch. 4.1 in full - Godley &amp; Lavoie (2007), Ch. 11 (for comparison with the GROWTH model architecture)</w:t>
      </w:r>
    </w:p>
    <w:p w14:paraId="598EFFB1" w14:textId="65004AC0" w:rsidR="005621D4" w:rsidRPr="00A90CD1" w:rsidRDefault="000542A4" w:rsidP="00A90CD1">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085B5525" wp14:editId="1CA79B5F">
                <wp:simplePos x="0" y="0"/>
                <wp:positionH relativeFrom="column">
                  <wp:posOffset>8255</wp:posOffset>
                </wp:positionH>
                <wp:positionV relativeFrom="paragraph">
                  <wp:posOffset>82550</wp:posOffset>
                </wp:positionV>
                <wp:extent cx="6019800" cy="0"/>
                <wp:effectExtent l="8255" t="9525" r="10795" b="9525"/>
                <wp:wrapNone/>
                <wp:docPr id="1101171091"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635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A8EB556" id="AutoShape 33" o:spid="_x0000_s1026" type="#_x0000_t32" style="position:absolute;margin-left:.65pt;margin-top:6.5pt;width:474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" strokecolor="black [3213]" strokeweight=".5pt">
                <v:shadow color="#7f7f7f [1601]" opacity=".5" offset="1pt"/>
              </v:shape>
            </w:pict>
          </mc:Fallback>
        </mc:AlternateContent>
      </w:r>
    </w:p>
    <w:p w14:paraId="5DF404F0" w14:textId="6705DF8C" w:rsidR="005621D4" w:rsidRPr="00A90CD1" w:rsidRDefault="00000000" w:rsidP="00A90CD1">
      <w:pPr>
        <w:pStyle w:val="Heading3"/>
        <w:jc w:val="both"/>
        <w:rPr>
          <w:rFonts w:ascii="Times New Roman" w:hAnsi="Times New Roman" w:cs="Times New Roman"/>
          <w:color w:val="auto"/>
        </w:rPr>
      </w:pPr>
      <w:bookmarkStart w:id="14" w:name="X29fc2a78146ba5fa02b175f3aca3814c75e9006"/>
      <w:bookmarkEnd w:id="13"/>
      <w:r w:rsidRPr="00A90CD1">
        <w:rPr>
          <w:rFonts w:ascii="Times New Roman" w:hAnsi="Times New Roman" w:cs="Times New Roman"/>
          <w:color w:val="auto"/>
        </w:rPr>
        <w:t xml:space="preserve">Week 9 </w:t>
      </w:r>
      <w:r w:rsidR="009F5E29">
        <w:rPr>
          <w:rFonts w:ascii="Times New Roman" w:hAnsi="Times New Roman" w:cs="Times New Roman"/>
          <w:color w:val="auto"/>
        </w:rPr>
        <w:t>-</w:t>
      </w:r>
      <w:r w:rsidRPr="00A90CD1">
        <w:rPr>
          <w:rFonts w:ascii="Times New Roman" w:hAnsi="Times New Roman" w:cs="Times New Roman"/>
          <w:color w:val="auto"/>
        </w:rPr>
        <w:t xml:space="preserve"> Steady State, Shocks, and the Benchmark in Operation</w:t>
      </w:r>
    </w:p>
    <w:p w14:paraId="756E4AA5" w14:textId="4CAF71F8" w:rsidR="005621D4" w:rsidRPr="00A90CD1" w:rsidRDefault="00000000" w:rsidP="00A90CD1">
      <w:pPr>
        <w:pStyle w:val="FirstParagraph"/>
        <w:jc w:val="both"/>
        <w:rPr>
          <w:rFonts w:ascii="Times New Roman" w:hAnsi="Times New Roman" w:cs="Times New Roman"/>
        </w:rPr>
      </w:pPr>
      <w:r w:rsidRPr="00A90CD1">
        <w:rPr>
          <w:rFonts w:ascii="Times New Roman" w:hAnsi="Times New Roman" w:cs="Times New Roman"/>
          <w:b/>
          <w:bCs/>
        </w:rPr>
        <w:t>Block 1 (Theory):</w:t>
      </w:r>
      <w:r w:rsidRPr="00A90CD1">
        <w:rPr>
          <w:rFonts w:ascii="Times New Roman" w:hAnsi="Times New Roman" w:cs="Times New Roman"/>
        </w:rPr>
        <w:t xml:space="preserve"> Steady-state derivation for the six-sector benchmark. Stability conditions. Designing shock scenarios: mark-up shocks (the canonical “profit-led inflation” experiment), wage-bargaining shocks (worker-power scenarios), fiscal shocks. Interpreting distributional outcomes.</w:t>
      </w:r>
    </w:p>
    <w:p w14:paraId="23328584"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Block 2 (R Lab):</w:t>
      </w:r>
      <w:r w:rsidRPr="00A90CD1">
        <w:rPr>
          <w:rFonts w:ascii="Times New Roman" w:hAnsi="Times New Roman" w:cs="Times New Roman"/>
        </w:rPr>
        <w:t xml:space="preserve"> Calibrate the benchmark to a stable baseline. Run three scenarios: (i) 10% mark-up shock, (ii) 20% worker-wage recovery, (iii) combined shock. Decompose income shares before and after.</w:t>
      </w:r>
    </w:p>
    <w:p w14:paraId="6438F03E"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Readings:</w:t>
      </w:r>
      <w:r w:rsidRPr="00A90CD1">
        <w:rPr>
          <w:rFonts w:ascii="Times New Roman" w:hAnsi="Times New Roman" w:cs="Times New Roman"/>
        </w:rPr>
        <w:t xml:space="preserve"> - Özden (2025), thesis Ch. 4.2 - Stockhammer (2008), “Some stylized facts on the finance-dominated accumulation regime,” </w:t>
      </w:r>
      <w:r w:rsidRPr="00A90CD1">
        <w:rPr>
          <w:rFonts w:ascii="Times New Roman" w:hAnsi="Times New Roman" w:cs="Times New Roman"/>
          <w:i/>
          <w:iCs/>
        </w:rPr>
        <w:t>Competition &amp; Change</w:t>
      </w:r>
      <w:r w:rsidRPr="00A90CD1">
        <w:rPr>
          <w:rFonts w:ascii="Times New Roman" w:hAnsi="Times New Roman" w:cs="Times New Roman"/>
        </w:rPr>
        <w:t xml:space="preserve"> 12(2)</w:t>
      </w:r>
    </w:p>
    <w:p w14:paraId="77656BD0"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Problem Set 3 issued:</w:t>
      </w:r>
      <w:r w:rsidRPr="00A90CD1">
        <w:rPr>
          <w:rFonts w:ascii="Times New Roman" w:hAnsi="Times New Roman" w:cs="Times New Roman"/>
        </w:rPr>
        <w:t xml:space="preserve"> Run a shock scenario in the benchmark and produce a distributional decomposition. </w:t>
      </w:r>
      <w:r w:rsidRPr="00A90CD1">
        <w:rPr>
          <w:rFonts w:ascii="Times New Roman" w:hAnsi="Times New Roman" w:cs="Times New Roman"/>
          <w:b/>
          <w:bCs/>
        </w:rPr>
        <w:t>Due end of Week 9.</w:t>
      </w:r>
      <w:r w:rsidRPr="00A90CD1">
        <w:rPr>
          <w:rFonts w:ascii="Times New Roman" w:hAnsi="Times New Roman" w:cs="Times New Roman"/>
        </w:rPr>
        <w:t xml:space="preserve"> This problem set is the direct warm-up for the final project.</w:t>
      </w:r>
    </w:p>
    <w:p w14:paraId="08E5FCFB"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Final project proposal format announced (due Week 10).</w:t>
      </w:r>
    </w:p>
    <w:p w14:paraId="7A26EABE" w14:textId="2BE1FEF7" w:rsidR="005621D4" w:rsidRPr="00A90CD1" w:rsidRDefault="000542A4" w:rsidP="00A90CD1">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085B5525" wp14:editId="298D46CD">
                <wp:simplePos x="0" y="0"/>
                <wp:positionH relativeFrom="column">
                  <wp:posOffset>8255</wp:posOffset>
                </wp:positionH>
                <wp:positionV relativeFrom="paragraph">
                  <wp:posOffset>152400</wp:posOffset>
                </wp:positionV>
                <wp:extent cx="6019800" cy="0"/>
                <wp:effectExtent l="8255" t="11430" r="10795" b="7620"/>
                <wp:wrapNone/>
                <wp:docPr id="166564313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635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29EAB42" id="AutoShape 34" o:spid="_x0000_s1026" type="#_x0000_t32" style="position:absolute;margin-left:.65pt;margin-top:12pt;width:474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" strokecolor="black [3213]" strokeweight=".5pt">
                <v:shadow color="#7f7f7f [1601]" opacity=".5" offset="1pt"/>
              </v:shape>
            </w:pict>
          </mc:Fallback>
        </mc:AlternateContent>
      </w:r>
    </w:p>
    <w:p w14:paraId="420878C1" w14:textId="4062FEB1" w:rsidR="005621D4" w:rsidRPr="00A90CD1" w:rsidRDefault="00000000" w:rsidP="00A90CD1">
      <w:pPr>
        <w:pStyle w:val="Heading3"/>
        <w:jc w:val="both"/>
        <w:rPr>
          <w:rFonts w:ascii="Times New Roman" w:hAnsi="Times New Roman" w:cs="Times New Roman"/>
          <w:color w:val="auto"/>
        </w:rPr>
      </w:pPr>
      <w:bookmarkStart w:id="15" w:name="Xbca2e28aaaa25bec94743dcd98278a0f2c458ca"/>
      <w:bookmarkEnd w:id="14"/>
      <w:r w:rsidRPr="00A90CD1">
        <w:rPr>
          <w:rFonts w:ascii="Times New Roman" w:hAnsi="Times New Roman" w:cs="Times New Roman"/>
          <w:color w:val="auto"/>
        </w:rPr>
        <w:t xml:space="preserve">Week 10 </w:t>
      </w:r>
      <w:r w:rsidR="00D86AC4">
        <w:rPr>
          <w:rFonts w:ascii="Times New Roman" w:hAnsi="Times New Roman" w:cs="Times New Roman"/>
          <w:color w:val="auto"/>
        </w:rPr>
        <w:t>-</w:t>
      </w:r>
      <w:r w:rsidRPr="00A90CD1">
        <w:rPr>
          <w:rFonts w:ascii="Times New Roman" w:hAnsi="Times New Roman" w:cs="Times New Roman"/>
          <w:color w:val="auto"/>
        </w:rPr>
        <w:t xml:space="preserve"> From Theory to Empirics I: ONS Blue Book and the Architecture of Empirical SFC</w:t>
      </w:r>
    </w:p>
    <w:p w14:paraId="5A0D5629" w14:textId="77777777" w:rsidR="005621D4" w:rsidRPr="00A90CD1" w:rsidRDefault="00000000" w:rsidP="00A90CD1">
      <w:pPr>
        <w:pStyle w:val="FirstParagraph"/>
        <w:jc w:val="both"/>
        <w:rPr>
          <w:rFonts w:ascii="Times New Roman" w:hAnsi="Times New Roman" w:cs="Times New Roman"/>
        </w:rPr>
      </w:pPr>
      <w:r w:rsidRPr="00A90CD1">
        <w:rPr>
          <w:rFonts w:ascii="Times New Roman" w:hAnsi="Times New Roman" w:cs="Times New Roman"/>
          <w:b/>
          <w:bCs/>
        </w:rPr>
        <w:t>Block 1 (Theory):</w:t>
      </w:r>
      <w:r w:rsidRPr="00A90CD1">
        <w:rPr>
          <w:rFonts w:ascii="Times New Roman" w:hAnsi="Times New Roman" w:cs="Times New Roman"/>
        </w:rPr>
        <w:t xml:space="preserve"> This week begins Phase III of the course. The instructor will walk students through the UK ONS Blue Book and its sectoral architecture: how the household sector (S.14) is structured, how financial corporations are organized (S.121 central bank, S.122 deposit-takers excluding CB, S.123 money market funds, S.124-127 other financial intermediaries, S.128-129 </w:t>
      </w:r>
      <w:r w:rsidRPr="00A90CD1">
        <w:rPr>
          <w:rFonts w:ascii="Times New Roman" w:hAnsi="Times New Roman" w:cs="Times New Roman"/>
        </w:rPr>
        <w:lastRenderedPageBreak/>
        <w:t>insurance and pension funds), how non-financial corporations (S.11), general government (S.13), and the rest of the world (S.2) are mapped. The sequence of accounts: production → primary income → secondary income → capital → financial. How an empirical TFM is constructed from these accounts.</w:t>
      </w:r>
    </w:p>
    <w:p w14:paraId="4CAF38C3" w14:textId="2B74F5C5"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rPr>
        <w:t>We then survey how researchers have built UK SFC models from this data</w:t>
      </w:r>
      <w:r w:rsidR="00D86AC4">
        <w:rPr>
          <w:rFonts w:ascii="Times New Roman" w:hAnsi="Times New Roman" w:cs="Times New Roman"/>
        </w:rPr>
        <w:t>,</w:t>
      </w:r>
      <w:r w:rsidRPr="00A90CD1">
        <w:rPr>
          <w:rFonts w:ascii="Times New Roman" w:hAnsi="Times New Roman" w:cs="Times New Roman"/>
        </w:rPr>
        <w:t xml:space="preserve"> Burgess et al. (2016, Bank of England) and Özden’s own approach</w:t>
      </w:r>
      <w:r w:rsidR="00D86AC4">
        <w:rPr>
          <w:rFonts w:ascii="Times New Roman" w:hAnsi="Times New Roman" w:cs="Times New Roman"/>
        </w:rPr>
        <w:t>,</w:t>
      </w:r>
      <w:r w:rsidRPr="00A90CD1">
        <w:rPr>
          <w:rFonts w:ascii="Times New Roman" w:hAnsi="Times New Roman" w:cs="Times New Roman"/>
        </w:rPr>
        <w:t xml:space="preserve"> and where the consolidation decisions matter.</w:t>
      </w:r>
    </w:p>
    <w:p w14:paraId="792170D2"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Block 2 (R Lab):</w:t>
      </w:r>
      <w:r w:rsidRPr="00A90CD1">
        <w:rPr>
          <w:rFonts w:ascii="Times New Roman" w:hAnsi="Times New Roman" w:cs="Times New Roman"/>
        </w:rPr>
        <w:t xml:space="preserve"> Begin importing ONS data. Build the skeleton of an empirical TFM. Identify where the theoretical benchmark must be extended to accommodate the empirical sectoral structure.</w:t>
      </w:r>
    </w:p>
    <w:p w14:paraId="12F21C48" w14:textId="4753F80E"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Readings:</w:t>
      </w:r>
      <w:r w:rsidRPr="00A90CD1">
        <w:rPr>
          <w:rFonts w:ascii="Times New Roman" w:hAnsi="Times New Roman" w:cs="Times New Roman"/>
        </w:rPr>
        <w:t xml:space="preserve"> - ONS Blue Book methodology notes (to be circulated) - Burgess, Burrows, Godin, Kinsella &amp; Millard (2016), “A dynamic model of financial balances for the United Kingdom,” Bank of England Staff Working Paper No. 614 - Özden &amp; Yeldan (2026), “Understanding the Effectiveness of Incomes Policy in a Two-Household SFC Model of the UK,” PKES Working Paper 2606</w:t>
      </w:r>
      <w:r w:rsidR="009F5E29">
        <w:rPr>
          <w:rFonts w:ascii="Times New Roman" w:hAnsi="Times New Roman" w:cs="Times New Roman"/>
        </w:rPr>
        <w:t>,</w:t>
      </w:r>
      <w:r w:rsidRPr="00A90CD1">
        <w:rPr>
          <w:rFonts w:ascii="Times New Roman" w:hAnsi="Times New Roman" w:cs="Times New Roman"/>
        </w:rPr>
        <w:t xml:space="preserve"> Sections 1-3</w:t>
      </w:r>
    </w:p>
    <w:p w14:paraId="6D33B086"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Problem Set 3 due.</w:t>
      </w:r>
      <w:r w:rsidRPr="00A90CD1">
        <w:rPr>
          <w:rFonts w:ascii="Times New Roman" w:hAnsi="Times New Roman" w:cs="Times New Roman"/>
        </w:rPr>
        <w:t xml:space="preserve"> </w:t>
      </w:r>
      <w:r w:rsidRPr="00A90CD1">
        <w:rPr>
          <w:rFonts w:ascii="Times New Roman" w:hAnsi="Times New Roman" w:cs="Times New Roman"/>
          <w:b/>
          <w:bCs/>
        </w:rPr>
        <w:t>Final project proposal due (2 pages: research question, model modification, planned shocks, expected results).</w:t>
      </w:r>
    </w:p>
    <w:p w14:paraId="7307F19F" w14:textId="22AEFD94"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Possible guest lecture (subject to availability):</w:t>
      </w:r>
      <w:r w:rsidR="00D86AC4">
        <w:rPr>
          <w:rFonts w:ascii="Times New Roman" w:hAnsi="Times New Roman" w:cs="Times New Roman"/>
          <w:b/>
          <w:bCs/>
        </w:rPr>
        <w:t>…</w:t>
      </w:r>
      <w:r w:rsidRPr="00A90CD1">
        <w:rPr>
          <w:rFonts w:ascii="Times New Roman" w:hAnsi="Times New Roman" w:cs="Times New Roman"/>
          <w:b/>
          <w:bCs/>
        </w:rPr>
        <w:t xml:space="preserve"> advisory role on student proposals.</w:t>
      </w:r>
    </w:p>
    <w:p w14:paraId="12CD652A" w14:textId="7C26BE7E" w:rsidR="005621D4" w:rsidRPr="00A90CD1" w:rsidRDefault="000542A4" w:rsidP="00A90CD1">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085B5525" wp14:editId="06797268">
                <wp:simplePos x="0" y="0"/>
                <wp:positionH relativeFrom="column">
                  <wp:posOffset>8255</wp:posOffset>
                </wp:positionH>
                <wp:positionV relativeFrom="paragraph">
                  <wp:posOffset>94615</wp:posOffset>
                </wp:positionV>
                <wp:extent cx="6019800" cy="0"/>
                <wp:effectExtent l="8255" t="6985" r="10795" b="12065"/>
                <wp:wrapNone/>
                <wp:docPr id="179933799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635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78D5F0" id="AutoShape 35" o:spid="_x0000_s1026" type="#_x0000_t32" style="position:absolute;margin-left:.65pt;margin-top:7.45pt;width:47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" strokecolor="black [3213]" strokeweight=".5pt">
                <v:shadow color="#7f7f7f [1601]" opacity=".5" offset="1pt"/>
              </v:shape>
            </w:pict>
          </mc:Fallback>
        </mc:AlternateContent>
      </w:r>
    </w:p>
    <w:p w14:paraId="6CAEAE3C" w14:textId="537DBC62" w:rsidR="005621D4" w:rsidRPr="00A90CD1" w:rsidRDefault="00000000" w:rsidP="00A90CD1">
      <w:pPr>
        <w:pStyle w:val="Heading3"/>
        <w:jc w:val="both"/>
        <w:rPr>
          <w:rFonts w:ascii="Times New Roman" w:hAnsi="Times New Roman" w:cs="Times New Roman"/>
          <w:color w:val="auto"/>
        </w:rPr>
      </w:pPr>
      <w:bookmarkStart w:id="16" w:name="Xe6ac06dafc7fc183dd4d341478b2c8085f71854"/>
      <w:bookmarkEnd w:id="15"/>
      <w:r w:rsidRPr="00A90CD1">
        <w:rPr>
          <w:rFonts w:ascii="Times New Roman" w:hAnsi="Times New Roman" w:cs="Times New Roman"/>
          <w:color w:val="auto"/>
        </w:rPr>
        <w:t xml:space="preserve">Week 11 </w:t>
      </w:r>
      <w:r w:rsidR="00D86AC4">
        <w:rPr>
          <w:rFonts w:ascii="Times New Roman" w:hAnsi="Times New Roman" w:cs="Times New Roman"/>
          <w:color w:val="auto"/>
        </w:rPr>
        <w:t>-</w:t>
      </w:r>
      <w:r w:rsidRPr="00A90CD1">
        <w:rPr>
          <w:rFonts w:ascii="Times New Roman" w:hAnsi="Times New Roman" w:cs="Times New Roman"/>
          <w:color w:val="auto"/>
        </w:rPr>
        <w:t xml:space="preserve"> From Theory to Empirics II: Building the UK-SFC Model</w:t>
      </w:r>
    </w:p>
    <w:p w14:paraId="045F138F" w14:textId="5EBABAC0" w:rsidR="005621D4" w:rsidRPr="00A90CD1" w:rsidRDefault="00000000" w:rsidP="00A90CD1">
      <w:pPr>
        <w:pStyle w:val="FirstParagraph"/>
        <w:jc w:val="both"/>
        <w:rPr>
          <w:rFonts w:ascii="Times New Roman" w:hAnsi="Times New Roman" w:cs="Times New Roman"/>
        </w:rPr>
      </w:pPr>
      <w:r w:rsidRPr="00A90CD1">
        <w:rPr>
          <w:rFonts w:ascii="Times New Roman" w:hAnsi="Times New Roman" w:cs="Times New Roman"/>
          <w:b/>
          <w:bCs/>
        </w:rPr>
        <w:t>Block 1 (Theory):</w:t>
      </w:r>
      <w:r w:rsidRPr="00A90CD1">
        <w:rPr>
          <w:rFonts w:ascii="Times New Roman" w:hAnsi="Times New Roman" w:cs="Times New Roman"/>
        </w:rPr>
        <w:t xml:space="preserve"> Walking through the empirical extension step by step. How the benchmark closed-economy 6-sector structure is opened up: adding the rest of the world (open-economy closure, import-price pass-through, current account dynamics); disaggregating the financial sector into MFIs and ICPFs (insurance corporations and pension funds); introducing housing wealth and mortgages (a Burgess-style repayment mechanism); endogenizing pension contributions and annuities. The role of these extensions in the post-COVID inflation analysis.</w:t>
      </w:r>
    </w:p>
    <w:p w14:paraId="4E7E0DD2"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Block 2 (R Lab):</w:t>
      </w:r>
      <w:r w:rsidRPr="00A90CD1">
        <w:rPr>
          <w:rFonts w:ascii="Times New Roman" w:hAnsi="Times New Roman" w:cs="Times New Roman"/>
        </w:rPr>
        <w:t xml:space="preserve"> Continue building the UK-SFC model. Add the ICPF and housing blocks. Connect to imported-cost pass-through in the price equation. Compare runs against the canonical theoretical benchmark from Week 9.</w:t>
      </w:r>
    </w:p>
    <w:p w14:paraId="54E505F5" w14:textId="692AA52C"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Readings:</w:t>
      </w:r>
      <w:r w:rsidRPr="00A90CD1">
        <w:rPr>
          <w:rFonts w:ascii="Times New Roman" w:hAnsi="Times New Roman" w:cs="Times New Roman"/>
        </w:rPr>
        <w:t xml:space="preserve"> - Özden &amp; Yeldan (2026), full paper</w:t>
      </w:r>
      <w:r w:rsidR="00D86AC4">
        <w:rPr>
          <w:rFonts w:ascii="Times New Roman" w:hAnsi="Times New Roman" w:cs="Times New Roman"/>
        </w:rPr>
        <w:t>,</w:t>
      </w:r>
      <w:r w:rsidRPr="00A90CD1">
        <w:rPr>
          <w:rFonts w:ascii="Times New Roman" w:hAnsi="Times New Roman" w:cs="Times New Roman"/>
        </w:rPr>
        <w:t xml:space="preserve"> Sections 3-4 - Özden (2025), thesis Ch. 5 (selected sections) - Lu, Coutts &amp; Gudgin (2024), “Energy shocks and inflation episodes in the UK,” </w:t>
      </w:r>
      <w:r w:rsidRPr="00A90CD1">
        <w:rPr>
          <w:rFonts w:ascii="Times New Roman" w:hAnsi="Times New Roman" w:cs="Times New Roman"/>
          <w:i/>
          <w:iCs/>
        </w:rPr>
        <w:t>Energy Economics</w:t>
      </w:r>
    </w:p>
    <w:p w14:paraId="71226B95"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Students should be making active progress on their final-project model from this week onward.</w:t>
      </w:r>
    </w:p>
    <w:p w14:paraId="50861C54" w14:textId="68AD7513" w:rsidR="005621D4" w:rsidRPr="00A90CD1" w:rsidRDefault="000542A4" w:rsidP="00A90CD1">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085B5525" wp14:editId="40787857">
                <wp:simplePos x="0" y="0"/>
                <wp:positionH relativeFrom="column">
                  <wp:posOffset>8255</wp:posOffset>
                </wp:positionH>
                <wp:positionV relativeFrom="paragraph">
                  <wp:posOffset>101600</wp:posOffset>
                </wp:positionV>
                <wp:extent cx="6019800" cy="0"/>
                <wp:effectExtent l="8255" t="10795" r="10795" b="8255"/>
                <wp:wrapNone/>
                <wp:docPr id="98228928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635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29E01C3" id="AutoShape 36" o:spid="_x0000_s1026" type="#_x0000_t32" style="position:absolute;margin-left:.65pt;margin-top:8pt;width:474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" strokecolor="black [3213]" strokeweight=".5pt">
                <v:shadow color="#7f7f7f [1601]" opacity=".5" offset="1pt"/>
              </v:shape>
            </w:pict>
          </mc:Fallback>
        </mc:AlternateContent>
      </w:r>
    </w:p>
    <w:p w14:paraId="43F99D41" w14:textId="409A58ED" w:rsidR="005621D4" w:rsidRPr="00A90CD1" w:rsidRDefault="00000000" w:rsidP="00A90CD1">
      <w:pPr>
        <w:pStyle w:val="Heading3"/>
        <w:jc w:val="both"/>
        <w:rPr>
          <w:rFonts w:ascii="Times New Roman" w:hAnsi="Times New Roman" w:cs="Times New Roman"/>
          <w:color w:val="auto"/>
        </w:rPr>
      </w:pPr>
      <w:bookmarkStart w:id="17" w:name="Xc392ccafda1dae3c9e12e3c06e5c60f87b5ad04"/>
      <w:bookmarkEnd w:id="16"/>
      <w:r w:rsidRPr="00A90CD1">
        <w:rPr>
          <w:rFonts w:ascii="Times New Roman" w:hAnsi="Times New Roman" w:cs="Times New Roman"/>
          <w:color w:val="auto"/>
        </w:rPr>
        <w:t xml:space="preserve">Week 12 </w:t>
      </w:r>
      <w:r w:rsidR="009F5E29">
        <w:rPr>
          <w:rFonts w:ascii="Times New Roman" w:hAnsi="Times New Roman" w:cs="Times New Roman"/>
          <w:color w:val="auto"/>
        </w:rPr>
        <w:t>-</w:t>
      </w:r>
      <w:r w:rsidRPr="00A90CD1">
        <w:rPr>
          <w:rFonts w:ascii="Times New Roman" w:hAnsi="Times New Roman" w:cs="Times New Roman"/>
          <w:color w:val="auto"/>
        </w:rPr>
        <w:t xml:space="preserve"> Calibration Discipline and Empirical SFC in Practice</w:t>
      </w:r>
    </w:p>
    <w:p w14:paraId="5A129F2D" w14:textId="77777777" w:rsidR="005621D4" w:rsidRPr="00A90CD1" w:rsidRDefault="00000000" w:rsidP="00A90CD1">
      <w:pPr>
        <w:pStyle w:val="FirstParagraph"/>
        <w:jc w:val="both"/>
        <w:rPr>
          <w:rFonts w:ascii="Times New Roman" w:hAnsi="Times New Roman" w:cs="Times New Roman"/>
        </w:rPr>
      </w:pPr>
      <w:r w:rsidRPr="00A90CD1">
        <w:rPr>
          <w:rFonts w:ascii="Times New Roman" w:hAnsi="Times New Roman" w:cs="Times New Roman"/>
          <w:b/>
          <w:bCs/>
        </w:rPr>
        <w:t>Block 1 (Theory):</w:t>
      </w:r>
      <w:r w:rsidRPr="00A90CD1">
        <w:rPr>
          <w:rFonts w:ascii="Times New Roman" w:hAnsi="Times New Roman" w:cs="Times New Roman"/>
        </w:rPr>
        <w:t xml:space="preserve"> The discipline of calibration. Time-varying parameters as a strategy for capturing structural breaks (e.g., COVID lockdown, post-COVID recovery). Using OBR </w:t>
      </w:r>
      <w:r w:rsidRPr="00A90CD1">
        <w:rPr>
          <w:rFonts w:ascii="Times New Roman" w:hAnsi="Times New Roman" w:cs="Times New Roman"/>
        </w:rPr>
        <w:lastRenderedPageBreak/>
        <w:t>projections for tax rates and policy assumptions. Validation: how to compare model paths to ONS observed series. The role of Burgess-style mechanisms in matching empirical financial dynamics.</w:t>
      </w:r>
    </w:p>
    <w:p w14:paraId="17717604" w14:textId="7AA5F8C4"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rPr>
        <w:t>This week also locates the Özden-Yeldan (2026) approach within the broader empirical-SFC literature. We discuss alternative empirical SFC strategies</w:t>
      </w:r>
      <w:r w:rsidR="009F5E29">
        <w:rPr>
          <w:rFonts w:ascii="Times New Roman" w:hAnsi="Times New Roman" w:cs="Times New Roman"/>
        </w:rPr>
        <w:t>,</w:t>
      </w:r>
      <w:r w:rsidRPr="00A90CD1">
        <w:rPr>
          <w:rFonts w:ascii="Times New Roman" w:hAnsi="Times New Roman" w:cs="Times New Roman"/>
        </w:rPr>
        <w:t xml:space="preserve"> Caiani et al. (2016) on agent-based SFC calibration, Zezza &amp; Zezza (2019) on the design of empirical SFC models, Raza et al. (2023) on the Aalborg-Denmark SFC model.</w:t>
      </w:r>
    </w:p>
    <w:p w14:paraId="76C923CF"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Block 2 (R Lab):</w:t>
      </w:r>
      <w:r w:rsidRPr="00A90CD1">
        <w:rPr>
          <w:rFonts w:ascii="Times New Roman" w:hAnsi="Times New Roman" w:cs="Times New Roman"/>
        </w:rPr>
        <w:t xml:space="preserve"> Calibration exercise. Match the running UK-SFC model to ONS observed data for 2016-2023. Investigate the role of time-varying parameters.</w:t>
      </w:r>
    </w:p>
    <w:p w14:paraId="1D6FAA6C"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Readings:</w:t>
      </w:r>
      <w:r w:rsidRPr="00A90CD1">
        <w:rPr>
          <w:rFonts w:ascii="Times New Roman" w:hAnsi="Times New Roman" w:cs="Times New Roman"/>
        </w:rPr>
        <w:t xml:space="preserve"> - Caiani, Godin, Caverzasi, Gallegati, Kinsella &amp; Stiglitz (2016), “Agent based-stock flow consistent macroeconomics: Towards a benchmark model,” </w:t>
      </w:r>
      <w:r w:rsidRPr="00A90CD1">
        <w:rPr>
          <w:rFonts w:ascii="Times New Roman" w:hAnsi="Times New Roman" w:cs="Times New Roman"/>
          <w:i/>
          <w:iCs/>
        </w:rPr>
        <w:t>Journal of Economic Dynamics and Control</w:t>
      </w:r>
      <w:r w:rsidRPr="00A90CD1">
        <w:rPr>
          <w:rFonts w:ascii="Times New Roman" w:hAnsi="Times New Roman" w:cs="Times New Roman"/>
        </w:rPr>
        <w:t xml:space="preserve"> 69 - Zezza &amp; Zezza (2019), “On the design of empirical stock-flow consistent models,” </w:t>
      </w:r>
      <w:r w:rsidRPr="00A90CD1">
        <w:rPr>
          <w:rFonts w:ascii="Times New Roman" w:hAnsi="Times New Roman" w:cs="Times New Roman"/>
          <w:i/>
          <w:iCs/>
        </w:rPr>
        <w:t>European Journal of Economics and Economic Policies: Intervention</w:t>
      </w:r>
      <w:r w:rsidRPr="00A90CD1">
        <w:rPr>
          <w:rFonts w:ascii="Times New Roman" w:hAnsi="Times New Roman" w:cs="Times New Roman"/>
        </w:rPr>
        <w:t xml:space="preserve"> - Raza, Laurentjoye, Byrialsen &amp; Valdecantos (2023), “Inflation and the role of macroeconomic policies: A model for the case of Denmark,” </w:t>
      </w:r>
      <w:r w:rsidRPr="00A90CD1">
        <w:rPr>
          <w:rFonts w:ascii="Times New Roman" w:hAnsi="Times New Roman" w:cs="Times New Roman"/>
          <w:i/>
          <w:iCs/>
        </w:rPr>
        <w:t>Structural Change and Economic Dynamics</w:t>
      </w:r>
      <w:r w:rsidRPr="00A90CD1">
        <w:rPr>
          <w:rFonts w:ascii="Times New Roman" w:hAnsi="Times New Roman" w:cs="Times New Roman"/>
        </w:rPr>
        <w:t xml:space="preserve"> 67</w:t>
      </w:r>
    </w:p>
    <w:p w14:paraId="5FE9AC34" w14:textId="1B378240" w:rsidR="005621D4" w:rsidRPr="00A90CD1" w:rsidRDefault="000542A4" w:rsidP="00A90CD1">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085B5525" wp14:editId="5373C41E">
                <wp:simplePos x="0" y="0"/>
                <wp:positionH relativeFrom="column">
                  <wp:posOffset>8255</wp:posOffset>
                </wp:positionH>
                <wp:positionV relativeFrom="paragraph">
                  <wp:posOffset>102870</wp:posOffset>
                </wp:positionV>
                <wp:extent cx="6019800" cy="0"/>
                <wp:effectExtent l="8255" t="7620" r="10795" b="11430"/>
                <wp:wrapNone/>
                <wp:docPr id="128714917"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635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083A04F" id="AutoShape 37" o:spid="_x0000_s1026" type="#_x0000_t32" style="position:absolute;margin-left:.65pt;margin-top:8.1pt;width:474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" strokecolor="black [3213]" strokeweight=".5pt">
                <v:shadow color="#7f7f7f [1601]" opacity=".5" offset="1pt"/>
              </v:shape>
            </w:pict>
          </mc:Fallback>
        </mc:AlternateContent>
      </w:r>
    </w:p>
    <w:p w14:paraId="22801EDC" w14:textId="1E4DB630" w:rsidR="005621D4" w:rsidRPr="00A90CD1" w:rsidRDefault="00000000" w:rsidP="00A90CD1">
      <w:pPr>
        <w:pStyle w:val="Heading3"/>
        <w:jc w:val="both"/>
        <w:rPr>
          <w:rFonts w:ascii="Times New Roman" w:hAnsi="Times New Roman" w:cs="Times New Roman"/>
          <w:color w:val="auto"/>
        </w:rPr>
      </w:pPr>
      <w:bookmarkStart w:id="18" w:name="week-13-research-frontiers"/>
      <w:bookmarkEnd w:id="17"/>
      <w:r w:rsidRPr="00A90CD1">
        <w:rPr>
          <w:rFonts w:ascii="Times New Roman" w:hAnsi="Times New Roman" w:cs="Times New Roman"/>
          <w:color w:val="auto"/>
        </w:rPr>
        <w:t xml:space="preserve">Week 13 </w:t>
      </w:r>
      <w:r w:rsidR="009F5E29">
        <w:rPr>
          <w:rFonts w:ascii="Times New Roman" w:hAnsi="Times New Roman" w:cs="Times New Roman"/>
          <w:color w:val="auto"/>
        </w:rPr>
        <w:t>-</w:t>
      </w:r>
      <w:r w:rsidRPr="00A90CD1">
        <w:rPr>
          <w:rFonts w:ascii="Times New Roman" w:hAnsi="Times New Roman" w:cs="Times New Roman"/>
          <w:color w:val="auto"/>
        </w:rPr>
        <w:t xml:space="preserve"> Research Frontiers</w:t>
      </w:r>
    </w:p>
    <w:p w14:paraId="282C9AD7" w14:textId="77777777" w:rsidR="005621D4" w:rsidRPr="00A90CD1" w:rsidRDefault="00000000" w:rsidP="00A90CD1">
      <w:pPr>
        <w:pStyle w:val="FirstParagraph"/>
        <w:jc w:val="both"/>
        <w:rPr>
          <w:rFonts w:ascii="Times New Roman" w:hAnsi="Times New Roman" w:cs="Times New Roman"/>
        </w:rPr>
      </w:pPr>
      <w:r w:rsidRPr="00A90CD1">
        <w:rPr>
          <w:rFonts w:ascii="Times New Roman" w:hAnsi="Times New Roman" w:cs="Times New Roman"/>
          <w:b/>
          <w:bCs/>
        </w:rPr>
        <w:t>Block 1 (Theory):</w:t>
      </w:r>
      <w:r w:rsidRPr="00A90CD1">
        <w:rPr>
          <w:rFonts w:ascii="Times New Roman" w:hAnsi="Times New Roman" w:cs="Times New Roman"/>
        </w:rPr>
        <w:t xml:space="preserve"> Panoramic survey of the active research frontiers in SFC modeling, with a view to helping students locate where their own benchmark-variant projects can be extended:</w:t>
      </w:r>
    </w:p>
    <w:p w14:paraId="523CF76E" w14:textId="4F945186" w:rsidR="005621D4" w:rsidRPr="00A90CD1" w:rsidRDefault="00000000" w:rsidP="00A90CD1">
      <w:pPr>
        <w:pStyle w:val="Compact"/>
        <w:numPr>
          <w:ilvl w:val="0"/>
          <w:numId w:val="4"/>
        </w:numPr>
        <w:jc w:val="both"/>
        <w:rPr>
          <w:rFonts w:ascii="Times New Roman" w:hAnsi="Times New Roman" w:cs="Times New Roman"/>
        </w:rPr>
      </w:pPr>
      <w:r w:rsidRPr="00A90CD1">
        <w:rPr>
          <w:rFonts w:ascii="Times New Roman" w:hAnsi="Times New Roman" w:cs="Times New Roman"/>
          <w:b/>
          <w:bCs/>
        </w:rPr>
        <w:t>Agent-based SFC (AB-SFC).</w:t>
      </w:r>
      <w:r w:rsidRPr="00A90CD1">
        <w:rPr>
          <w:rFonts w:ascii="Times New Roman" w:hAnsi="Times New Roman" w:cs="Times New Roman"/>
        </w:rPr>
        <w:t xml:space="preserve"> The Caiani et al. (2016) framework. JAMEL, Eurace@Unibi. The promise and challenges of microfoundations within an SFC architecture.</w:t>
      </w:r>
    </w:p>
    <w:p w14:paraId="07ED2230" w14:textId="77777777" w:rsidR="005621D4" w:rsidRPr="00A90CD1" w:rsidRDefault="00000000" w:rsidP="00A90CD1">
      <w:pPr>
        <w:pStyle w:val="Compact"/>
        <w:numPr>
          <w:ilvl w:val="0"/>
          <w:numId w:val="4"/>
        </w:numPr>
        <w:jc w:val="both"/>
        <w:rPr>
          <w:rFonts w:ascii="Times New Roman" w:hAnsi="Times New Roman" w:cs="Times New Roman"/>
        </w:rPr>
      </w:pPr>
      <w:r w:rsidRPr="00A90CD1">
        <w:rPr>
          <w:rFonts w:ascii="Times New Roman" w:hAnsi="Times New Roman" w:cs="Times New Roman"/>
          <w:b/>
          <w:bCs/>
        </w:rPr>
        <w:t>Ecological SFC.</w:t>
      </w:r>
      <w:r w:rsidRPr="00A90CD1">
        <w:rPr>
          <w:rFonts w:ascii="Times New Roman" w:hAnsi="Times New Roman" w:cs="Times New Roman"/>
        </w:rPr>
        <w:t xml:space="preserve"> The stock-flow-fund framework. Climate-economy integrated models: DEFINE (Dafermos, Nikolaidi, Galanis 2017, 2018), Carnevali et al. (2021), Jackson &amp; Victor (2015).</w:t>
      </w:r>
    </w:p>
    <w:p w14:paraId="2F453C24" w14:textId="77777777" w:rsidR="005621D4" w:rsidRPr="00A90CD1" w:rsidRDefault="00000000" w:rsidP="00A90CD1">
      <w:pPr>
        <w:pStyle w:val="Compact"/>
        <w:numPr>
          <w:ilvl w:val="0"/>
          <w:numId w:val="4"/>
        </w:numPr>
        <w:jc w:val="both"/>
        <w:rPr>
          <w:rFonts w:ascii="Times New Roman" w:hAnsi="Times New Roman" w:cs="Times New Roman"/>
        </w:rPr>
      </w:pPr>
      <w:r w:rsidRPr="00A90CD1">
        <w:rPr>
          <w:rFonts w:ascii="Times New Roman" w:hAnsi="Times New Roman" w:cs="Times New Roman"/>
          <w:b/>
          <w:bCs/>
        </w:rPr>
        <w:t>Minskyan financial fragility.</w:t>
      </w:r>
      <w:r w:rsidRPr="00A90CD1">
        <w:rPr>
          <w:rFonts w:ascii="Times New Roman" w:hAnsi="Times New Roman" w:cs="Times New Roman"/>
        </w:rPr>
        <w:t xml:space="preserve"> Debt dynamics, leverage cycles. Nikolaidi (2014), Dos Santos (2005), Tymoigne (2014).</w:t>
      </w:r>
    </w:p>
    <w:p w14:paraId="0E210D78" w14:textId="5BCFAD45" w:rsidR="005621D4" w:rsidRPr="00A90CD1" w:rsidRDefault="00000000" w:rsidP="00A90CD1">
      <w:pPr>
        <w:pStyle w:val="Compact"/>
        <w:numPr>
          <w:ilvl w:val="0"/>
          <w:numId w:val="4"/>
        </w:numPr>
        <w:jc w:val="both"/>
        <w:rPr>
          <w:rFonts w:ascii="Times New Roman" w:hAnsi="Times New Roman" w:cs="Times New Roman"/>
        </w:rPr>
      </w:pPr>
      <w:r w:rsidRPr="00A90CD1">
        <w:rPr>
          <w:rFonts w:ascii="Times New Roman" w:hAnsi="Times New Roman" w:cs="Times New Roman"/>
          <w:b/>
          <w:bCs/>
        </w:rPr>
        <w:t>Brief survey of additional directions</w:t>
      </w:r>
      <w:r w:rsidR="009F5E29">
        <w:rPr>
          <w:rFonts w:ascii="Times New Roman" w:hAnsi="Times New Roman" w:cs="Times New Roman"/>
        </w:rPr>
        <w:t>. G</w:t>
      </w:r>
      <w:r w:rsidRPr="00A90CD1">
        <w:rPr>
          <w:rFonts w:ascii="Times New Roman" w:hAnsi="Times New Roman" w:cs="Times New Roman"/>
        </w:rPr>
        <w:t>ender-disaggregated SFC, regional/multi-country SFC, monetary regime studies</w:t>
      </w:r>
      <w:r w:rsidR="009F5E29">
        <w:rPr>
          <w:rFonts w:ascii="Times New Roman" w:hAnsi="Times New Roman" w:cs="Times New Roman"/>
        </w:rPr>
        <w:t>,</w:t>
      </w:r>
      <w:r w:rsidRPr="00A90CD1">
        <w:rPr>
          <w:rFonts w:ascii="Times New Roman" w:hAnsi="Times New Roman" w:cs="Times New Roman"/>
        </w:rPr>
        <w:t xml:space="preserve"> depending on student interest.</w:t>
      </w:r>
    </w:p>
    <w:p w14:paraId="250E66A6" w14:textId="77777777" w:rsidR="005621D4" w:rsidRPr="00A90CD1" w:rsidRDefault="00000000" w:rsidP="00A90CD1">
      <w:pPr>
        <w:pStyle w:val="FirstParagraph"/>
        <w:jc w:val="both"/>
        <w:rPr>
          <w:rFonts w:ascii="Times New Roman" w:hAnsi="Times New Roman" w:cs="Times New Roman"/>
        </w:rPr>
      </w:pPr>
      <w:r w:rsidRPr="00A90CD1">
        <w:rPr>
          <w:rFonts w:ascii="Times New Roman" w:hAnsi="Times New Roman" w:cs="Times New Roman"/>
          <w:b/>
          <w:bCs/>
        </w:rPr>
        <w:t>Block 2:</w:t>
      </w:r>
      <w:r w:rsidRPr="00A90CD1">
        <w:rPr>
          <w:rFonts w:ascii="Times New Roman" w:hAnsi="Times New Roman" w:cs="Times New Roman"/>
        </w:rPr>
        <w:t xml:space="preserve"> Office-hour-style consultation on final projects. Students present 5-minute updates on where they are; instructor and peers offer feedback.</w:t>
      </w:r>
    </w:p>
    <w:p w14:paraId="3484AEAB" w14:textId="42D4391C"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Readings:</w:t>
      </w:r>
      <w:r w:rsidRPr="00A90CD1">
        <w:rPr>
          <w:rFonts w:ascii="Times New Roman" w:hAnsi="Times New Roman" w:cs="Times New Roman"/>
        </w:rPr>
        <w:t xml:space="preserve"> - Survey readings; full reading list circulated. Selected: - Dafermos, Nikolaidi &amp; Galanis (2017), “A stock-flow-fund ecological macroeconomic model,” </w:t>
      </w:r>
      <w:r w:rsidRPr="00A90CD1">
        <w:rPr>
          <w:rFonts w:ascii="Times New Roman" w:hAnsi="Times New Roman" w:cs="Times New Roman"/>
          <w:i/>
          <w:iCs/>
        </w:rPr>
        <w:t>Ecological Economics</w:t>
      </w:r>
      <w:r w:rsidRPr="00A90CD1">
        <w:rPr>
          <w:rFonts w:ascii="Times New Roman" w:hAnsi="Times New Roman" w:cs="Times New Roman"/>
        </w:rPr>
        <w:t xml:space="preserve"> 131 - Nikolaidi (2014), “Margins of safety and instability in a macrodynamic model with Minskyan insights,” </w:t>
      </w:r>
      <w:r w:rsidRPr="00A90CD1">
        <w:rPr>
          <w:rFonts w:ascii="Times New Roman" w:hAnsi="Times New Roman" w:cs="Times New Roman"/>
          <w:i/>
          <w:iCs/>
        </w:rPr>
        <w:t>Structural Change and Economic Dynamics</w:t>
      </w:r>
      <w:r w:rsidRPr="00A90CD1">
        <w:rPr>
          <w:rFonts w:ascii="Times New Roman" w:hAnsi="Times New Roman" w:cs="Times New Roman"/>
        </w:rPr>
        <w:t xml:space="preserve"> 31 - Caverzasi &amp; Godin (2015), “Post-Keynesian stock-flow consistent modelling: A survey,” </w:t>
      </w:r>
      <w:r w:rsidRPr="00A90CD1">
        <w:rPr>
          <w:rFonts w:ascii="Times New Roman" w:hAnsi="Times New Roman" w:cs="Times New Roman"/>
          <w:i/>
          <w:iCs/>
        </w:rPr>
        <w:t>Cambridge Journal of Economics</w:t>
      </w:r>
      <w:r w:rsidRPr="00A90CD1">
        <w:rPr>
          <w:rFonts w:ascii="Times New Roman" w:hAnsi="Times New Roman" w:cs="Times New Roman"/>
        </w:rPr>
        <w:t xml:space="preserve"> 39(1)</w:t>
      </w:r>
      <w:r w:rsidR="009F5E29">
        <w:rPr>
          <w:rFonts w:ascii="Times New Roman" w:hAnsi="Times New Roman" w:cs="Times New Roman"/>
        </w:rPr>
        <w:t>,</w:t>
      </w:r>
      <w:r w:rsidRPr="00A90CD1">
        <w:rPr>
          <w:rFonts w:ascii="Times New Roman" w:hAnsi="Times New Roman" w:cs="Times New Roman"/>
        </w:rPr>
        <w:t xml:space="preserve"> for an organized map of the literature</w:t>
      </w:r>
    </w:p>
    <w:p w14:paraId="612DB115" w14:textId="1B041F1E" w:rsidR="005621D4" w:rsidRPr="00A90CD1" w:rsidRDefault="000542A4" w:rsidP="00A90CD1">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085B5525" wp14:editId="3DA26B88">
                <wp:simplePos x="0" y="0"/>
                <wp:positionH relativeFrom="column">
                  <wp:posOffset>-84455</wp:posOffset>
                </wp:positionH>
                <wp:positionV relativeFrom="paragraph">
                  <wp:posOffset>140970</wp:posOffset>
                </wp:positionV>
                <wp:extent cx="6019800" cy="0"/>
                <wp:effectExtent l="10795" t="10160" r="8255" b="8890"/>
                <wp:wrapNone/>
                <wp:docPr id="67337800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635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6D966B3" id="AutoShape 38" o:spid="_x0000_s1026" type="#_x0000_t32" style="position:absolute;margin-left:-6.65pt;margin-top:11.1pt;width:474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" strokecolor="black [3213]" strokeweight=".5pt">
                <v:shadow color="#7f7f7f [1601]" opacity=".5" offset="1pt"/>
              </v:shape>
            </w:pict>
          </mc:Fallback>
        </mc:AlternateContent>
      </w:r>
    </w:p>
    <w:p w14:paraId="30EF601A" w14:textId="268598B6" w:rsidR="005621D4" w:rsidRPr="00A90CD1" w:rsidRDefault="00000000" w:rsidP="00A90CD1">
      <w:pPr>
        <w:pStyle w:val="Heading3"/>
        <w:jc w:val="both"/>
        <w:rPr>
          <w:rFonts w:ascii="Times New Roman" w:hAnsi="Times New Roman" w:cs="Times New Roman"/>
          <w:color w:val="auto"/>
        </w:rPr>
      </w:pPr>
      <w:bookmarkStart w:id="19" w:name="week-14-final-project-presentations"/>
      <w:bookmarkEnd w:id="18"/>
      <w:r w:rsidRPr="00A90CD1">
        <w:rPr>
          <w:rFonts w:ascii="Times New Roman" w:hAnsi="Times New Roman" w:cs="Times New Roman"/>
          <w:color w:val="auto"/>
        </w:rPr>
        <w:lastRenderedPageBreak/>
        <w:t xml:space="preserve">Week 14 </w:t>
      </w:r>
      <w:r w:rsidR="009F5E29">
        <w:rPr>
          <w:rFonts w:ascii="Times New Roman" w:hAnsi="Times New Roman" w:cs="Times New Roman"/>
          <w:color w:val="auto"/>
        </w:rPr>
        <w:t>-</w:t>
      </w:r>
      <w:r w:rsidRPr="00A90CD1">
        <w:rPr>
          <w:rFonts w:ascii="Times New Roman" w:hAnsi="Times New Roman" w:cs="Times New Roman"/>
          <w:color w:val="auto"/>
        </w:rPr>
        <w:t xml:space="preserve"> Final Project Presentations</w:t>
      </w:r>
    </w:p>
    <w:p w14:paraId="6A468761" w14:textId="77777777" w:rsidR="005621D4" w:rsidRPr="00A90CD1" w:rsidRDefault="00000000" w:rsidP="00A90CD1">
      <w:pPr>
        <w:pStyle w:val="FirstParagraph"/>
        <w:jc w:val="both"/>
        <w:rPr>
          <w:rFonts w:ascii="Times New Roman" w:hAnsi="Times New Roman" w:cs="Times New Roman"/>
        </w:rPr>
      </w:pPr>
      <w:r w:rsidRPr="00A90CD1">
        <w:rPr>
          <w:rFonts w:ascii="Times New Roman" w:hAnsi="Times New Roman" w:cs="Times New Roman"/>
          <w:b/>
          <w:bCs/>
        </w:rPr>
        <w:t>Format:</w:t>
      </w:r>
      <w:r w:rsidRPr="00A90CD1">
        <w:rPr>
          <w:rFonts w:ascii="Times New Roman" w:hAnsi="Times New Roman" w:cs="Times New Roman"/>
        </w:rPr>
        <w:t xml:space="preserve"> Each student presents their final-project model for 15-20 minutes, followed by 10 minutes of Q&amp;A. Presentations must include: (i) the research question, (ii) the model modifications from the benchmark, (iii) the simulation results, (iv) the interpretation and limitations.</w:t>
      </w:r>
    </w:p>
    <w:p w14:paraId="2EC48E73" w14:textId="615B24F4"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Possible guest lecture (subject to availability):</w:t>
      </w:r>
      <w:r w:rsidRPr="00A90CD1">
        <w:rPr>
          <w:rFonts w:ascii="Times New Roman" w:hAnsi="Times New Roman" w:cs="Times New Roman"/>
        </w:rPr>
        <w:t xml:space="preserve"> </w:t>
      </w:r>
      <w:r w:rsidR="009F5E29">
        <w:rPr>
          <w:rFonts w:ascii="Times New Roman" w:hAnsi="Times New Roman" w:cs="Times New Roman"/>
        </w:rPr>
        <w:t>…</w:t>
      </w:r>
      <w:r w:rsidRPr="00A90CD1">
        <w:rPr>
          <w:rFonts w:ascii="Times New Roman" w:hAnsi="Times New Roman" w:cs="Times New Roman"/>
        </w:rPr>
        <w:t xml:space="preserve"> attends remotely as discussant/jury. Final guest scheduling depends on availability</w:t>
      </w:r>
      <w:r w:rsidR="009F5E29">
        <w:rPr>
          <w:rFonts w:ascii="Times New Roman" w:hAnsi="Times New Roman" w:cs="Times New Roman"/>
        </w:rPr>
        <w:t>,</w:t>
      </w:r>
      <w:r w:rsidRPr="00A90CD1">
        <w:rPr>
          <w:rFonts w:ascii="Times New Roman" w:hAnsi="Times New Roman" w:cs="Times New Roman"/>
        </w:rPr>
        <w:t xml:space="preserve"> guest may attend Week 10 (advisor role) or Week 14 (jury role); both is also possible if scheduling permits.</w:t>
      </w:r>
    </w:p>
    <w:p w14:paraId="45998F12" w14:textId="74108869" w:rsidR="005621D4" w:rsidRPr="00A90CD1" w:rsidRDefault="000542A4" w:rsidP="00A90CD1">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085B5525" wp14:editId="3E343636">
                <wp:simplePos x="0" y="0"/>
                <wp:positionH relativeFrom="column">
                  <wp:posOffset>8255</wp:posOffset>
                </wp:positionH>
                <wp:positionV relativeFrom="paragraph">
                  <wp:posOffset>135890</wp:posOffset>
                </wp:positionV>
                <wp:extent cx="6019800" cy="0"/>
                <wp:effectExtent l="8255" t="13970" r="10795" b="5080"/>
                <wp:wrapNone/>
                <wp:docPr id="1449575807"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635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BA36752" id="AutoShape 39" o:spid="_x0000_s1026" type="#_x0000_t32" style="position:absolute;margin-left:.65pt;margin-top:10.7pt;width:474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" strokecolor="black [3213]" strokeweight=".5pt">
                <v:shadow color="#7f7f7f [1601]" opacity=".5" offset="1pt"/>
              </v:shape>
            </w:pict>
          </mc:Fallback>
        </mc:AlternateContent>
      </w:r>
    </w:p>
    <w:p w14:paraId="2F126F58" w14:textId="77777777" w:rsidR="005621D4" w:rsidRPr="00A90CD1" w:rsidRDefault="00000000" w:rsidP="00A90CD1">
      <w:pPr>
        <w:pStyle w:val="Heading2"/>
        <w:jc w:val="both"/>
        <w:rPr>
          <w:rFonts w:ascii="Times New Roman" w:hAnsi="Times New Roman" w:cs="Times New Roman"/>
          <w:color w:val="auto"/>
          <w:sz w:val="24"/>
          <w:szCs w:val="24"/>
        </w:rPr>
      </w:pPr>
      <w:bookmarkStart w:id="20" w:name="final-project"/>
      <w:bookmarkEnd w:id="5"/>
      <w:bookmarkEnd w:id="19"/>
      <w:r w:rsidRPr="00A90CD1">
        <w:rPr>
          <w:rFonts w:ascii="Times New Roman" w:hAnsi="Times New Roman" w:cs="Times New Roman"/>
          <w:color w:val="auto"/>
          <w:sz w:val="24"/>
          <w:szCs w:val="24"/>
        </w:rPr>
        <w:t>6. Final Project</w:t>
      </w:r>
    </w:p>
    <w:p w14:paraId="71465995" w14:textId="77777777" w:rsidR="005621D4" w:rsidRPr="00A90CD1" w:rsidRDefault="00000000" w:rsidP="00A90CD1">
      <w:pPr>
        <w:pStyle w:val="FirstParagraph"/>
        <w:jc w:val="both"/>
        <w:rPr>
          <w:rFonts w:ascii="Times New Roman" w:hAnsi="Times New Roman" w:cs="Times New Roman"/>
        </w:rPr>
      </w:pPr>
      <w:r w:rsidRPr="00A90CD1">
        <w:rPr>
          <w:rFonts w:ascii="Times New Roman" w:hAnsi="Times New Roman" w:cs="Times New Roman"/>
        </w:rPr>
        <w:t>The final project is the spine of the course’s Phase II and Phase III deliverables. Each student develops their own variant of the closed-economy benchmark from Özden (2025, Ch. 4), addressing a research question of their choice.</w:t>
      </w:r>
    </w:p>
    <w:p w14:paraId="32E7A86F"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Acceptable project types include:</w:t>
      </w:r>
    </w:p>
    <w:p w14:paraId="7C35752D" w14:textId="77777777" w:rsidR="005621D4" w:rsidRPr="00A90CD1" w:rsidRDefault="00000000" w:rsidP="00A90CD1">
      <w:pPr>
        <w:pStyle w:val="Compact"/>
        <w:numPr>
          <w:ilvl w:val="0"/>
          <w:numId w:val="5"/>
        </w:numPr>
        <w:jc w:val="both"/>
        <w:rPr>
          <w:rFonts w:ascii="Times New Roman" w:hAnsi="Times New Roman" w:cs="Times New Roman"/>
        </w:rPr>
      </w:pPr>
      <w:r w:rsidRPr="00A90CD1">
        <w:rPr>
          <w:rFonts w:ascii="Times New Roman" w:hAnsi="Times New Roman" w:cs="Times New Roman"/>
        </w:rPr>
        <w:t>Modifying the household structure (e.g., three household groups; introducing precautionary saving for workers; explicit life-cycle dynamics for rentiers)</w:t>
      </w:r>
    </w:p>
    <w:p w14:paraId="29DD2ACC" w14:textId="77777777" w:rsidR="005621D4" w:rsidRPr="00A90CD1" w:rsidRDefault="00000000" w:rsidP="00A90CD1">
      <w:pPr>
        <w:pStyle w:val="Compact"/>
        <w:numPr>
          <w:ilvl w:val="0"/>
          <w:numId w:val="5"/>
        </w:numPr>
        <w:jc w:val="both"/>
        <w:rPr>
          <w:rFonts w:ascii="Times New Roman" w:hAnsi="Times New Roman" w:cs="Times New Roman"/>
        </w:rPr>
      </w:pPr>
      <w:r w:rsidRPr="00A90CD1">
        <w:rPr>
          <w:rFonts w:ascii="Times New Roman" w:hAnsi="Times New Roman" w:cs="Times New Roman"/>
        </w:rPr>
        <w:t>Modifying the inflation mechanism (e.g., adding an imported-cost channel as in Özden &amp; Yeldan 2026; sectoral price disaggregation à la Nikiforos et al. 2024)</w:t>
      </w:r>
    </w:p>
    <w:p w14:paraId="24BF99DF" w14:textId="453C8CA3" w:rsidR="005621D4" w:rsidRPr="00A90CD1" w:rsidRDefault="00000000" w:rsidP="00A90CD1">
      <w:pPr>
        <w:pStyle w:val="Compact"/>
        <w:numPr>
          <w:ilvl w:val="0"/>
          <w:numId w:val="5"/>
        </w:numPr>
        <w:jc w:val="both"/>
        <w:rPr>
          <w:rFonts w:ascii="Times New Roman" w:hAnsi="Times New Roman" w:cs="Times New Roman"/>
        </w:rPr>
      </w:pPr>
      <w:r w:rsidRPr="00A90CD1">
        <w:rPr>
          <w:rFonts w:ascii="Times New Roman" w:hAnsi="Times New Roman" w:cs="Times New Roman"/>
        </w:rPr>
        <w:t>Modifying the banking and financial structure (e.g., introducing a shadow-banking sector; a credit-rationing rule rather than horizontalism)</w:t>
      </w:r>
    </w:p>
    <w:p w14:paraId="657EB79B" w14:textId="77777777" w:rsidR="005621D4" w:rsidRPr="00A90CD1" w:rsidRDefault="00000000" w:rsidP="00A90CD1">
      <w:pPr>
        <w:pStyle w:val="Compact"/>
        <w:numPr>
          <w:ilvl w:val="0"/>
          <w:numId w:val="5"/>
        </w:numPr>
        <w:jc w:val="both"/>
        <w:rPr>
          <w:rFonts w:ascii="Times New Roman" w:hAnsi="Times New Roman" w:cs="Times New Roman"/>
        </w:rPr>
      </w:pPr>
      <w:r w:rsidRPr="00A90CD1">
        <w:rPr>
          <w:rFonts w:ascii="Times New Roman" w:hAnsi="Times New Roman" w:cs="Times New Roman"/>
        </w:rPr>
        <w:t>Exploring alternative wage-bargaining structures (e.g., explicit union behavior; bargaining over real vs. nominal wage)</w:t>
      </w:r>
    </w:p>
    <w:p w14:paraId="4956ACF8" w14:textId="77777777" w:rsidR="005621D4" w:rsidRPr="00A90CD1" w:rsidRDefault="00000000" w:rsidP="00A90CD1">
      <w:pPr>
        <w:pStyle w:val="Compact"/>
        <w:numPr>
          <w:ilvl w:val="0"/>
          <w:numId w:val="5"/>
        </w:numPr>
        <w:jc w:val="both"/>
        <w:rPr>
          <w:rFonts w:ascii="Times New Roman" w:hAnsi="Times New Roman" w:cs="Times New Roman"/>
        </w:rPr>
      </w:pPr>
      <w:r w:rsidRPr="00A90CD1">
        <w:rPr>
          <w:rFonts w:ascii="Times New Roman" w:hAnsi="Times New Roman" w:cs="Times New Roman"/>
        </w:rPr>
        <w:t>Adding an external sector or modifying fiscal architecture</w:t>
      </w:r>
    </w:p>
    <w:p w14:paraId="1D368302" w14:textId="77777777" w:rsidR="005621D4" w:rsidRPr="00A90CD1" w:rsidRDefault="00000000" w:rsidP="00A90CD1">
      <w:pPr>
        <w:pStyle w:val="Compact"/>
        <w:numPr>
          <w:ilvl w:val="0"/>
          <w:numId w:val="5"/>
        </w:numPr>
        <w:jc w:val="both"/>
        <w:rPr>
          <w:rFonts w:ascii="Times New Roman" w:hAnsi="Times New Roman" w:cs="Times New Roman"/>
        </w:rPr>
      </w:pPr>
      <w:r w:rsidRPr="00A90CD1">
        <w:rPr>
          <w:rFonts w:ascii="Times New Roman" w:hAnsi="Times New Roman" w:cs="Times New Roman"/>
        </w:rPr>
        <w:t>Building a different country’s variant using its national accounts (requires more empirical work)</w:t>
      </w:r>
    </w:p>
    <w:p w14:paraId="4F4CA031" w14:textId="77777777" w:rsidR="005621D4" w:rsidRPr="00A90CD1" w:rsidRDefault="00000000" w:rsidP="00A90CD1">
      <w:pPr>
        <w:pStyle w:val="FirstParagraph"/>
        <w:jc w:val="both"/>
        <w:rPr>
          <w:rFonts w:ascii="Times New Roman" w:hAnsi="Times New Roman" w:cs="Times New Roman"/>
        </w:rPr>
      </w:pPr>
      <w:r w:rsidRPr="00A90CD1">
        <w:rPr>
          <w:rFonts w:ascii="Times New Roman" w:hAnsi="Times New Roman" w:cs="Times New Roman"/>
          <w:b/>
          <w:bCs/>
        </w:rPr>
        <w:t>The model variant must:</w:t>
      </w:r>
      <w:r w:rsidRPr="00A90CD1">
        <w:rPr>
          <w:rFonts w:ascii="Times New Roman" w:hAnsi="Times New Roman" w:cs="Times New Roman"/>
        </w:rPr>
        <w:t xml:space="preserve"> - Maintain full stock-flow consistency (TFM closes; balance sheets close) - Be implemented in R from scratch - Produce a stable baseline - Produce at least two alternative shock scenarios</w:t>
      </w:r>
    </w:p>
    <w:p w14:paraId="49AA680B" w14:textId="41042650"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Deliverables:</w:t>
      </w:r>
      <w:r w:rsidRPr="00A90CD1">
        <w:rPr>
          <w:rFonts w:ascii="Times New Roman" w:hAnsi="Times New Roman" w:cs="Times New Roman"/>
        </w:rPr>
        <w:t xml:space="preserve"> - </w:t>
      </w:r>
      <w:r w:rsidRPr="00A90CD1">
        <w:rPr>
          <w:rFonts w:ascii="Times New Roman" w:hAnsi="Times New Roman" w:cs="Times New Roman"/>
          <w:b/>
          <w:bCs/>
        </w:rPr>
        <w:t>Proposal (Week 10, 2 pages):</w:t>
      </w:r>
      <w:r w:rsidRPr="00A90CD1">
        <w:rPr>
          <w:rFonts w:ascii="Times New Roman" w:hAnsi="Times New Roman" w:cs="Times New Roman"/>
        </w:rPr>
        <w:t xml:space="preserve"> Research question, planned model modification, planned shocks, expected results. - </w:t>
      </w:r>
      <w:r w:rsidRPr="00A90CD1">
        <w:rPr>
          <w:rFonts w:ascii="Times New Roman" w:hAnsi="Times New Roman" w:cs="Times New Roman"/>
          <w:b/>
          <w:bCs/>
        </w:rPr>
        <w:t>Presentation (Week 14, 15-20 min):</w:t>
      </w:r>
      <w:r w:rsidRPr="00A90CD1">
        <w:rPr>
          <w:rFonts w:ascii="Times New Roman" w:hAnsi="Times New Roman" w:cs="Times New Roman"/>
        </w:rPr>
        <w:t xml:space="preserve"> As above. - </w:t>
      </w:r>
      <w:r w:rsidRPr="00A90CD1">
        <w:rPr>
          <w:rFonts w:ascii="Times New Roman" w:hAnsi="Times New Roman" w:cs="Times New Roman"/>
          <w:b/>
          <w:bCs/>
        </w:rPr>
        <w:t>Written paper (end of term + 2 weeks):</w:t>
      </w:r>
      <w:r w:rsidRPr="00A90CD1">
        <w:rPr>
          <w:rFonts w:ascii="Times New Roman" w:hAnsi="Times New Roman" w:cs="Times New Roman"/>
        </w:rPr>
        <w:t xml:space="preserve"> 6,000-8,000 words. Includes literature, model description (with balance sheet, TFM, and behavioral equations), simulation results, interpretation, and a complete R code appendix submitted as a GitHub repository.</w:t>
      </w:r>
    </w:p>
    <w:p w14:paraId="29664B95" w14:textId="77777777" w:rsidR="005621D4" w:rsidRPr="00A90CD1" w:rsidRDefault="00000000" w:rsidP="00A90CD1">
      <w:pPr>
        <w:pStyle w:val="Heading2"/>
        <w:jc w:val="both"/>
        <w:rPr>
          <w:rFonts w:ascii="Times New Roman" w:hAnsi="Times New Roman" w:cs="Times New Roman"/>
          <w:color w:val="auto"/>
          <w:sz w:val="24"/>
          <w:szCs w:val="24"/>
        </w:rPr>
      </w:pPr>
      <w:bookmarkStart w:id="21" w:name="assessment"/>
      <w:bookmarkEnd w:id="20"/>
      <w:r w:rsidRPr="00A90CD1">
        <w:rPr>
          <w:rFonts w:ascii="Times New Roman" w:hAnsi="Times New Roman" w:cs="Times New Roman"/>
          <w:color w:val="auto"/>
          <w:sz w:val="24"/>
          <w:szCs w:val="24"/>
        </w:rPr>
        <w:t>7. Assessment</w:t>
      </w:r>
    </w:p>
    <w:tbl>
      <w:tblPr>
        <w:tblStyle w:val="Table"/>
        <w:tblW w:w="0" w:type="auto"/>
        <w:tblLook w:val="0020" w:firstRow="1" w:lastRow="0" w:firstColumn="0" w:lastColumn="0" w:noHBand="0" w:noVBand="0"/>
      </w:tblPr>
      <w:tblGrid>
        <w:gridCol w:w="3522"/>
        <w:gridCol w:w="923"/>
        <w:gridCol w:w="3709"/>
      </w:tblGrid>
      <w:tr w:rsidR="005621D4" w:rsidRPr="00A90CD1" w14:paraId="54E61EDC" w14:textId="77777777" w:rsidTr="005621D4">
        <w:trPr>
          <w:cnfStyle w:val="100000000000" w:firstRow="1" w:lastRow="0" w:firstColumn="0" w:lastColumn="0" w:oddVBand="0" w:evenVBand="0" w:oddHBand="0" w:evenHBand="0" w:firstRowFirstColumn="0" w:firstRowLastColumn="0" w:lastRowFirstColumn="0" w:lastRowLastColumn="0"/>
          <w:tblHeader/>
        </w:trPr>
        <w:tc>
          <w:tcPr>
            <w:tcW w:w="0" w:type="auto"/>
          </w:tcPr>
          <w:p w14:paraId="546E67F2" w14:textId="77777777" w:rsidR="005621D4" w:rsidRPr="00A90CD1" w:rsidRDefault="00000000" w:rsidP="00A90CD1">
            <w:pPr>
              <w:pStyle w:val="Compact"/>
              <w:jc w:val="both"/>
              <w:rPr>
                <w:rFonts w:ascii="Times New Roman" w:hAnsi="Times New Roman" w:cs="Times New Roman"/>
              </w:rPr>
            </w:pPr>
            <w:r w:rsidRPr="00A90CD1">
              <w:rPr>
                <w:rFonts w:ascii="Times New Roman" w:hAnsi="Times New Roman" w:cs="Times New Roman"/>
              </w:rPr>
              <w:t>Component</w:t>
            </w:r>
          </w:p>
        </w:tc>
        <w:tc>
          <w:tcPr>
            <w:tcW w:w="0" w:type="auto"/>
          </w:tcPr>
          <w:p w14:paraId="2A96A06F" w14:textId="77777777" w:rsidR="005621D4" w:rsidRPr="00A90CD1" w:rsidRDefault="00000000" w:rsidP="00A90CD1">
            <w:pPr>
              <w:pStyle w:val="Compact"/>
              <w:jc w:val="both"/>
              <w:rPr>
                <w:rFonts w:ascii="Times New Roman" w:hAnsi="Times New Roman" w:cs="Times New Roman"/>
              </w:rPr>
            </w:pPr>
            <w:r w:rsidRPr="00A90CD1">
              <w:rPr>
                <w:rFonts w:ascii="Times New Roman" w:hAnsi="Times New Roman" w:cs="Times New Roman"/>
              </w:rPr>
              <w:t>Weight</w:t>
            </w:r>
          </w:p>
        </w:tc>
        <w:tc>
          <w:tcPr>
            <w:tcW w:w="0" w:type="auto"/>
          </w:tcPr>
          <w:p w14:paraId="6F957CEA" w14:textId="77777777" w:rsidR="005621D4" w:rsidRPr="00A90CD1" w:rsidRDefault="00000000" w:rsidP="00A90CD1">
            <w:pPr>
              <w:pStyle w:val="Compact"/>
              <w:jc w:val="both"/>
              <w:rPr>
                <w:rFonts w:ascii="Times New Roman" w:hAnsi="Times New Roman" w:cs="Times New Roman"/>
              </w:rPr>
            </w:pPr>
            <w:r w:rsidRPr="00A90CD1">
              <w:rPr>
                <w:rFonts w:ascii="Times New Roman" w:hAnsi="Times New Roman" w:cs="Times New Roman"/>
              </w:rPr>
              <w:t>Notes</w:t>
            </w:r>
          </w:p>
        </w:tc>
      </w:tr>
      <w:tr w:rsidR="005621D4" w:rsidRPr="00A90CD1" w14:paraId="6CD1B41A" w14:textId="77777777">
        <w:tc>
          <w:tcPr>
            <w:tcW w:w="0" w:type="auto"/>
          </w:tcPr>
          <w:p w14:paraId="1B3AAF85" w14:textId="77777777" w:rsidR="005621D4" w:rsidRPr="00A90CD1" w:rsidRDefault="00000000" w:rsidP="00A90CD1">
            <w:pPr>
              <w:pStyle w:val="Compact"/>
              <w:jc w:val="both"/>
              <w:rPr>
                <w:rFonts w:ascii="Times New Roman" w:hAnsi="Times New Roman" w:cs="Times New Roman"/>
              </w:rPr>
            </w:pPr>
            <w:r w:rsidRPr="00A90CD1">
              <w:rPr>
                <w:rFonts w:ascii="Times New Roman" w:hAnsi="Times New Roman" w:cs="Times New Roman"/>
              </w:rPr>
              <w:t>Problem Set 1 (SIM)</w:t>
            </w:r>
          </w:p>
        </w:tc>
        <w:tc>
          <w:tcPr>
            <w:tcW w:w="0" w:type="auto"/>
          </w:tcPr>
          <w:p w14:paraId="356C53BD" w14:textId="77777777" w:rsidR="005621D4" w:rsidRPr="00A90CD1" w:rsidRDefault="00000000" w:rsidP="00A90CD1">
            <w:pPr>
              <w:pStyle w:val="Compact"/>
              <w:jc w:val="both"/>
              <w:rPr>
                <w:rFonts w:ascii="Times New Roman" w:hAnsi="Times New Roman" w:cs="Times New Roman"/>
              </w:rPr>
            </w:pPr>
            <w:r w:rsidRPr="00A90CD1">
              <w:rPr>
                <w:rFonts w:ascii="Times New Roman" w:hAnsi="Times New Roman" w:cs="Times New Roman"/>
              </w:rPr>
              <w:t>10%</w:t>
            </w:r>
          </w:p>
        </w:tc>
        <w:tc>
          <w:tcPr>
            <w:tcW w:w="0" w:type="auto"/>
          </w:tcPr>
          <w:p w14:paraId="17D54C02" w14:textId="77777777" w:rsidR="005621D4" w:rsidRPr="00A90CD1" w:rsidRDefault="00000000" w:rsidP="00A90CD1">
            <w:pPr>
              <w:pStyle w:val="Compact"/>
              <w:jc w:val="both"/>
              <w:rPr>
                <w:rFonts w:ascii="Times New Roman" w:hAnsi="Times New Roman" w:cs="Times New Roman"/>
              </w:rPr>
            </w:pPr>
            <w:r w:rsidRPr="00A90CD1">
              <w:rPr>
                <w:rFonts w:ascii="Times New Roman" w:hAnsi="Times New Roman" w:cs="Times New Roman"/>
              </w:rPr>
              <w:t>Due end of Week 3</w:t>
            </w:r>
          </w:p>
        </w:tc>
      </w:tr>
      <w:tr w:rsidR="005621D4" w:rsidRPr="00A90CD1" w14:paraId="7E8089BF" w14:textId="77777777">
        <w:tc>
          <w:tcPr>
            <w:tcW w:w="0" w:type="auto"/>
          </w:tcPr>
          <w:p w14:paraId="43F73F4F" w14:textId="77777777" w:rsidR="005621D4" w:rsidRPr="00A90CD1" w:rsidRDefault="00000000" w:rsidP="00A90CD1">
            <w:pPr>
              <w:pStyle w:val="Compact"/>
              <w:jc w:val="both"/>
              <w:rPr>
                <w:rFonts w:ascii="Times New Roman" w:hAnsi="Times New Roman" w:cs="Times New Roman"/>
              </w:rPr>
            </w:pPr>
            <w:r w:rsidRPr="00A90CD1">
              <w:rPr>
                <w:rFonts w:ascii="Times New Roman" w:hAnsi="Times New Roman" w:cs="Times New Roman"/>
              </w:rPr>
              <w:t>Problem Set 2 (PC + BMW)</w:t>
            </w:r>
          </w:p>
        </w:tc>
        <w:tc>
          <w:tcPr>
            <w:tcW w:w="0" w:type="auto"/>
          </w:tcPr>
          <w:p w14:paraId="7F4488E5" w14:textId="77777777" w:rsidR="005621D4" w:rsidRPr="00A90CD1" w:rsidRDefault="00000000" w:rsidP="00A90CD1">
            <w:pPr>
              <w:pStyle w:val="Compact"/>
              <w:jc w:val="both"/>
              <w:rPr>
                <w:rFonts w:ascii="Times New Roman" w:hAnsi="Times New Roman" w:cs="Times New Roman"/>
              </w:rPr>
            </w:pPr>
            <w:r w:rsidRPr="00A90CD1">
              <w:rPr>
                <w:rFonts w:ascii="Times New Roman" w:hAnsi="Times New Roman" w:cs="Times New Roman"/>
              </w:rPr>
              <w:t>10%</w:t>
            </w:r>
          </w:p>
        </w:tc>
        <w:tc>
          <w:tcPr>
            <w:tcW w:w="0" w:type="auto"/>
          </w:tcPr>
          <w:p w14:paraId="0344B92C" w14:textId="77777777" w:rsidR="005621D4" w:rsidRPr="00A90CD1" w:rsidRDefault="00000000" w:rsidP="00A90CD1">
            <w:pPr>
              <w:pStyle w:val="Compact"/>
              <w:jc w:val="both"/>
              <w:rPr>
                <w:rFonts w:ascii="Times New Roman" w:hAnsi="Times New Roman" w:cs="Times New Roman"/>
              </w:rPr>
            </w:pPr>
            <w:r w:rsidRPr="00A90CD1">
              <w:rPr>
                <w:rFonts w:ascii="Times New Roman" w:hAnsi="Times New Roman" w:cs="Times New Roman"/>
              </w:rPr>
              <w:t>Due end of Week 6</w:t>
            </w:r>
          </w:p>
        </w:tc>
      </w:tr>
      <w:tr w:rsidR="005621D4" w:rsidRPr="00A90CD1" w14:paraId="574C611D" w14:textId="77777777">
        <w:tc>
          <w:tcPr>
            <w:tcW w:w="0" w:type="auto"/>
          </w:tcPr>
          <w:p w14:paraId="24317082" w14:textId="77777777" w:rsidR="005621D4" w:rsidRPr="00A90CD1" w:rsidRDefault="00000000" w:rsidP="00A90CD1">
            <w:pPr>
              <w:pStyle w:val="Compact"/>
              <w:jc w:val="both"/>
              <w:rPr>
                <w:rFonts w:ascii="Times New Roman" w:hAnsi="Times New Roman" w:cs="Times New Roman"/>
              </w:rPr>
            </w:pPr>
            <w:r w:rsidRPr="00A90CD1">
              <w:rPr>
                <w:rFonts w:ascii="Times New Roman" w:hAnsi="Times New Roman" w:cs="Times New Roman"/>
              </w:rPr>
              <w:t>Problem Set 3 (Benchmark shock)</w:t>
            </w:r>
          </w:p>
        </w:tc>
        <w:tc>
          <w:tcPr>
            <w:tcW w:w="0" w:type="auto"/>
          </w:tcPr>
          <w:p w14:paraId="17B5E90C" w14:textId="77777777" w:rsidR="005621D4" w:rsidRPr="00A90CD1" w:rsidRDefault="00000000" w:rsidP="00A90CD1">
            <w:pPr>
              <w:pStyle w:val="Compact"/>
              <w:jc w:val="both"/>
              <w:rPr>
                <w:rFonts w:ascii="Times New Roman" w:hAnsi="Times New Roman" w:cs="Times New Roman"/>
              </w:rPr>
            </w:pPr>
            <w:r w:rsidRPr="00A90CD1">
              <w:rPr>
                <w:rFonts w:ascii="Times New Roman" w:hAnsi="Times New Roman" w:cs="Times New Roman"/>
              </w:rPr>
              <w:t>15%</w:t>
            </w:r>
          </w:p>
        </w:tc>
        <w:tc>
          <w:tcPr>
            <w:tcW w:w="0" w:type="auto"/>
          </w:tcPr>
          <w:p w14:paraId="38BA1F37" w14:textId="77777777" w:rsidR="005621D4" w:rsidRPr="00A90CD1" w:rsidRDefault="00000000" w:rsidP="00A90CD1">
            <w:pPr>
              <w:pStyle w:val="Compact"/>
              <w:jc w:val="both"/>
              <w:rPr>
                <w:rFonts w:ascii="Times New Roman" w:hAnsi="Times New Roman" w:cs="Times New Roman"/>
              </w:rPr>
            </w:pPr>
            <w:r w:rsidRPr="00A90CD1">
              <w:rPr>
                <w:rFonts w:ascii="Times New Roman" w:hAnsi="Times New Roman" w:cs="Times New Roman"/>
              </w:rPr>
              <w:t>Due end of Week 9</w:t>
            </w:r>
          </w:p>
        </w:tc>
      </w:tr>
      <w:tr w:rsidR="005621D4" w:rsidRPr="00A90CD1" w14:paraId="3E3B9D24" w14:textId="77777777">
        <w:tc>
          <w:tcPr>
            <w:tcW w:w="0" w:type="auto"/>
          </w:tcPr>
          <w:p w14:paraId="28367119" w14:textId="77777777" w:rsidR="005621D4" w:rsidRPr="00A90CD1" w:rsidRDefault="00000000" w:rsidP="00A90CD1">
            <w:pPr>
              <w:pStyle w:val="Compact"/>
              <w:jc w:val="both"/>
              <w:rPr>
                <w:rFonts w:ascii="Times New Roman" w:hAnsi="Times New Roman" w:cs="Times New Roman"/>
              </w:rPr>
            </w:pPr>
            <w:r w:rsidRPr="00A90CD1">
              <w:rPr>
                <w:rFonts w:ascii="Times New Roman" w:hAnsi="Times New Roman" w:cs="Times New Roman"/>
              </w:rPr>
              <w:lastRenderedPageBreak/>
              <w:t>Final project proposal</w:t>
            </w:r>
          </w:p>
        </w:tc>
        <w:tc>
          <w:tcPr>
            <w:tcW w:w="0" w:type="auto"/>
          </w:tcPr>
          <w:p w14:paraId="4B9DA492" w14:textId="77777777" w:rsidR="005621D4" w:rsidRPr="00A90CD1" w:rsidRDefault="00000000" w:rsidP="00A90CD1">
            <w:pPr>
              <w:pStyle w:val="Compact"/>
              <w:jc w:val="both"/>
              <w:rPr>
                <w:rFonts w:ascii="Times New Roman" w:hAnsi="Times New Roman" w:cs="Times New Roman"/>
              </w:rPr>
            </w:pPr>
            <w:r w:rsidRPr="00A90CD1">
              <w:rPr>
                <w:rFonts w:ascii="Times New Roman" w:hAnsi="Times New Roman" w:cs="Times New Roman"/>
              </w:rPr>
              <w:t>10%</w:t>
            </w:r>
          </w:p>
        </w:tc>
        <w:tc>
          <w:tcPr>
            <w:tcW w:w="0" w:type="auto"/>
          </w:tcPr>
          <w:p w14:paraId="79BF62BB" w14:textId="77777777" w:rsidR="005621D4" w:rsidRPr="00A90CD1" w:rsidRDefault="00000000" w:rsidP="00A90CD1">
            <w:pPr>
              <w:pStyle w:val="Compact"/>
              <w:jc w:val="both"/>
              <w:rPr>
                <w:rFonts w:ascii="Times New Roman" w:hAnsi="Times New Roman" w:cs="Times New Roman"/>
              </w:rPr>
            </w:pPr>
            <w:r w:rsidRPr="00A90CD1">
              <w:rPr>
                <w:rFonts w:ascii="Times New Roman" w:hAnsi="Times New Roman" w:cs="Times New Roman"/>
              </w:rPr>
              <w:t>Due Week 10</w:t>
            </w:r>
          </w:p>
        </w:tc>
      </w:tr>
      <w:tr w:rsidR="005621D4" w:rsidRPr="00A90CD1" w14:paraId="447AC9B7" w14:textId="77777777">
        <w:tc>
          <w:tcPr>
            <w:tcW w:w="0" w:type="auto"/>
          </w:tcPr>
          <w:p w14:paraId="100835A3" w14:textId="77777777" w:rsidR="005621D4" w:rsidRPr="00A90CD1" w:rsidRDefault="00000000" w:rsidP="00A90CD1">
            <w:pPr>
              <w:pStyle w:val="Compact"/>
              <w:jc w:val="both"/>
              <w:rPr>
                <w:rFonts w:ascii="Times New Roman" w:hAnsi="Times New Roman" w:cs="Times New Roman"/>
              </w:rPr>
            </w:pPr>
            <w:r w:rsidRPr="00A90CD1">
              <w:rPr>
                <w:rFonts w:ascii="Times New Roman" w:hAnsi="Times New Roman" w:cs="Times New Roman"/>
              </w:rPr>
              <w:t>Final project presentation</w:t>
            </w:r>
          </w:p>
        </w:tc>
        <w:tc>
          <w:tcPr>
            <w:tcW w:w="0" w:type="auto"/>
          </w:tcPr>
          <w:p w14:paraId="25FE739A" w14:textId="77777777" w:rsidR="005621D4" w:rsidRPr="00A90CD1" w:rsidRDefault="00000000" w:rsidP="00A90CD1">
            <w:pPr>
              <w:pStyle w:val="Compact"/>
              <w:jc w:val="both"/>
              <w:rPr>
                <w:rFonts w:ascii="Times New Roman" w:hAnsi="Times New Roman" w:cs="Times New Roman"/>
              </w:rPr>
            </w:pPr>
            <w:r w:rsidRPr="00A90CD1">
              <w:rPr>
                <w:rFonts w:ascii="Times New Roman" w:hAnsi="Times New Roman" w:cs="Times New Roman"/>
              </w:rPr>
              <w:t>15%</w:t>
            </w:r>
          </w:p>
        </w:tc>
        <w:tc>
          <w:tcPr>
            <w:tcW w:w="0" w:type="auto"/>
          </w:tcPr>
          <w:p w14:paraId="2DA59611" w14:textId="77777777" w:rsidR="005621D4" w:rsidRPr="00A90CD1" w:rsidRDefault="00000000" w:rsidP="00A90CD1">
            <w:pPr>
              <w:pStyle w:val="Compact"/>
              <w:jc w:val="both"/>
              <w:rPr>
                <w:rFonts w:ascii="Times New Roman" w:hAnsi="Times New Roman" w:cs="Times New Roman"/>
              </w:rPr>
            </w:pPr>
            <w:r w:rsidRPr="00A90CD1">
              <w:rPr>
                <w:rFonts w:ascii="Times New Roman" w:hAnsi="Times New Roman" w:cs="Times New Roman"/>
              </w:rPr>
              <w:t>Week 14</w:t>
            </w:r>
          </w:p>
        </w:tc>
      </w:tr>
      <w:tr w:rsidR="005621D4" w:rsidRPr="00A90CD1" w14:paraId="465EC772" w14:textId="77777777">
        <w:tc>
          <w:tcPr>
            <w:tcW w:w="0" w:type="auto"/>
          </w:tcPr>
          <w:p w14:paraId="35994C85" w14:textId="77777777" w:rsidR="005621D4" w:rsidRPr="00A90CD1" w:rsidRDefault="00000000" w:rsidP="00A90CD1">
            <w:pPr>
              <w:pStyle w:val="Compact"/>
              <w:jc w:val="both"/>
              <w:rPr>
                <w:rFonts w:ascii="Times New Roman" w:hAnsi="Times New Roman" w:cs="Times New Roman"/>
              </w:rPr>
            </w:pPr>
            <w:r w:rsidRPr="00A90CD1">
              <w:rPr>
                <w:rFonts w:ascii="Times New Roman" w:hAnsi="Times New Roman" w:cs="Times New Roman"/>
              </w:rPr>
              <w:t>Final project paper</w:t>
            </w:r>
          </w:p>
        </w:tc>
        <w:tc>
          <w:tcPr>
            <w:tcW w:w="0" w:type="auto"/>
          </w:tcPr>
          <w:p w14:paraId="55195864" w14:textId="77777777" w:rsidR="005621D4" w:rsidRPr="00A90CD1" w:rsidRDefault="00000000" w:rsidP="00A90CD1">
            <w:pPr>
              <w:pStyle w:val="Compact"/>
              <w:jc w:val="both"/>
              <w:rPr>
                <w:rFonts w:ascii="Times New Roman" w:hAnsi="Times New Roman" w:cs="Times New Roman"/>
              </w:rPr>
            </w:pPr>
            <w:r w:rsidRPr="00A90CD1">
              <w:rPr>
                <w:rFonts w:ascii="Times New Roman" w:hAnsi="Times New Roman" w:cs="Times New Roman"/>
              </w:rPr>
              <w:t>30%</w:t>
            </w:r>
          </w:p>
        </w:tc>
        <w:tc>
          <w:tcPr>
            <w:tcW w:w="0" w:type="auto"/>
          </w:tcPr>
          <w:p w14:paraId="4860D882" w14:textId="77777777" w:rsidR="005621D4" w:rsidRPr="00A90CD1" w:rsidRDefault="00000000" w:rsidP="00A90CD1">
            <w:pPr>
              <w:pStyle w:val="Compact"/>
              <w:jc w:val="both"/>
              <w:rPr>
                <w:rFonts w:ascii="Times New Roman" w:hAnsi="Times New Roman" w:cs="Times New Roman"/>
              </w:rPr>
            </w:pPr>
            <w:r w:rsidRPr="00A90CD1">
              <w:rPr>
                <w:rFonts w:ascii="Times New Roman" w:hAnsi="Times New Roman" w:cs="Times New Roman"/>
              </w:rPr>
              <w:t>Due 2 weeks after Week 14</w:t>
            </w:r>
          </w:p>
        </w:tc>
      </w:tr>
      <w:tr w:rsidR="005621D4" w:rsidRPr="00A90CD1" w14:paraId="09BC77E8" w14:textId="77777777">
        <w:tc>
          <w:tcPr>
            <w:tcW w:w="0" w:type="auto"/>
          </w:tcPr>
          <w:p w14:paraId="3D16408C" w14:textId="77777777" w:rsidR="005621D4" w:rsidRPr="00A90CD1" w:rsidRDefault="00000000" w:rsidP="00A90CD1">
            <w:pPr>
              <w:pStyle w:val="Compact"/>
              <w:jc w:val="both"/>
              <w:rPr>
                <w:rFonts w:ascii="Times New Roman" w:hAnsi="Times New Roman" w:cs="Times New Roman"/>
              </w:rPr>
            </w:pPr>
            <w:r w:rsidRPr="00A90CD1">
              <w:rPr>
                <w:rFonts w:ascii="Times New Roman" w:hAnsi="Times New Roman" w:cs="Times New Roman"/>
              </w:rPr>
              <w:t>Class participation</w:t>
            </w:r>
          </w:p>
        </w:tc>
        <w:tc>
          <w:tcPr>
            <w:tcW w:w="0" w:type="auto"/>
          </w:tcPr>
          <w:p w14:paraId="19B7166D" w14:textId="77777777" w:rsidR="005621D4" w:rsidRPr="00A90CD1" w:rsidRDefault="00000000" w:rsidP="00A90CD1">
            <w:pPr>
              <w:pStyle w:val="Compact"/>
              <w:jc w:val="both"/>
              <w:rPr>
                <w:rFonts w:ascii="Times New Roman" w:hAnsi="Times New Roman" w:cs="Times New Roman"/>
              </w:rPr>
            </w:pPr>
            <w:r w:rsidRPr="00A90CD1">
              <w:rPr>
                <w:rFonts w:ascii="Times New Roman" w:hAnsi="Times New Roman" w:cs="Times New Roman"/>
              </w:rPr>
              <w:t>10%</w:t>
            </w:r>
          </w:p>
        </w:tc>
        <w:tc>
          <w:tcPr>
            <w:tcW w:w="0" w:type="auto"/>
          </w:tcPr>
          <w:p w14:paraId="1FE405BA" w14:textId="77777777" w:rsidR="005621D4" w:rsidRPr="00A90CD1" w:rsidRDefault="00000000" w:rsidP="00A90CD1">
            <w:pPr>
              <w:pStyle w:val="Compact"/>
              <w:jc w:val="both"/>
              <w:rPr>
                <w:rFonts w:ascii="Times New Roman" w:hAnsi="Times New Roman" w:cs="Times New Roman"/>
              </w:rPr>
            </w:pPr>
            <w:r w:rsidRPr="00A90CD1">
              <w:rPr>
                <w:rFonts w:ascii="Times New Roman" w:hAnsi="Times New Roman" w:cs="Times New Roman"/>
              </w:rPr>
              <w:t>Lab engagement, reading discussion</w:t>
            </w:r>
          </w:p>
        </w:tc>
      </w:tr>
    </w:tbl>
    <w:p w14:paraId="1E50AFC3" w14:textId="74D741C2" w:rsidR="005621D4" w:rsidRPr="00A90CD1" w:rsidRDefault="000542A4" w:rsidP="00A90CD1">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085B5525" wp14:editId="756312DB">
                <wp:simplePos x="0" y="0"/>
                <wp:positionH relativeFrom="column">
                  <wp:posOffset>-81915</wp:posOffset>
                </wp:positionH>
                <wp:positionV relativeFrom="paragraph">
                  <wp:posOffset>156845</wp:posOffset>
                </wp:positionV>
                <wp:extent cx="6019800" cy="0"/>
                <wp:effectExtent l="13335" t="13970" r="5715" b="5080"/>
                <wp:wrapNone/>
                <wp:docPr id="126114828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635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4FBD76" id="AutoShape 42" o:spid="_x0000_s1026" type="#_x0000_t32" style="position:absolute;margin-left:-6.45pt;margin-top:12.35pt;width:474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" strokecolor="black [3213]" strokeweight=".5pt">
                <v:shadow color="#7f7f7f [1601]" opacity=".5" offset="1pt"/>
              </v:shape>
            </w:pict>
          </mc:Fallback>
        </mc:AlternateContent>
      </w:r>
    </w:p>
    <w:p w14:paraId="18739353" w14:textId="77777777" w:rsidR="005621D4" w:rsidRPr="00A90CD1" w:rsidRDefault="00000000" w:rsidP="00A90CD1">
      <w:pPr>
        <w:pStyle w:val="Heading2"/>
        <w:jc w:val="both"/>
        <w:rPr>
          <w:rFonts w:ascii="Times New Roman" w:hAnsi="Times New Roman" w:cs="Times New Roman"/>
          <w:color w:val="auto"/>
          <w:sz w:val="24"/>
          <w:szCs w:val="24"/>
        </w:rPr>
      </w:pPr>
      <w:bookmarkStart w:id="22" w:name="core-references"/>
      <w:bookmarkEnd w:id="21"/>
      <w:r w:rsidRPr="00A90CD1">
        <w:rPr>
          <w:rFonts w:ascii="Times New Roman" w:hAnsi="Times New Roman" w:cs="Times New Roman"/>
          <w:color w:val="auto"/>
          <w:sz w:val="24"/>
          <w:szCs w:val="24"/>
        </w:rPr>
        <w:t>8. Core References</w:t>
      </w:r>
    </w:p>
    <w:p w14:paraId="24E79592" w14:textId="77777777" w:rsidR="005621D4" w:rsidRPr="00A90CD1" w:rsidRDefault="00000000" w:rsidP="00A90CD1">
      <w:pPr>
        <w:pStyle w:val="FirstParagraph"/>
        <w:jc w:val="both"/>
        <w:rPr>
          <w:rFonts w:ascii="Times New Roman" w:hAnsi="Times New Roman" w:cs="Times New Roman"/>
        </w:rPr>
      </w:pPr>
      <w:r w:rsidRPr="00A90CD1">
        <w:rPr>
          <w:rFonts w:ascii="Times New Roman" w:hAnsi="Times New Roman" w:cs="Times New Roman"/>
          <w:b/>
          <w:bCs/>
        </w:rPr>
        <w:t>Primary Textbooks:</w:t>
      </w:r>
      <w:r w:rsidRPr="00A90CD1">
        <w:rPr>
          <w:rFonts w:ascii="Times New Roman" w:hAnsi="Times New Roman" w:cs="Times New Roman"/>
        </w:rPr>
        <w:t xml:space="preserve"> - Godley, W. &amp; Lavoie, M. (2007). </w:t>
      </w:r>
      <w:r w:rsidRPr="00A90CD1">
        <w:rPr>
          <w:rFonts w:ascii="Times New Roman" w:hAnsi="Times New Roman" w:cs="Times New Roman"/>
          <w:i/>
          <w:iCs/>
        </w:rPr>
        <w:t>Monetary Economics: An Integrated Approach to Credit, Money, Income, Production and Wealth</w:t>
      </w:r>
      <w:r w:rsidRPr="00A90CD1">
        <w:rPr>
          <w:rFonts w:ascii="Times New Roman" w:hAnsi="Times New Roman" w:cs="Times New Roman"/>
        </w:rPr>
        <w:t xml:space="preserve">. Palgrave Macmillan. </w:t>
      </w:r>
      <w:r w:rsidRPr="00A90CD1">
        <w:rPr>
          <w:rFonts w:ascii="Times New Roman" w:hAnsi="Times New Roman" w:cs="Times New Roman"/>
          <w:b/>
          <w:bCs/>
        </w:rPr>
        <w:t>[Core textbook for Weeks 1-6]</w:t>
      </w:r>
      <w:r w:rsidRPr="00A90CD1">
        <w:rPr>
          <w:rFonts w:ascii="Times New Roman" w:hAnsi="Times New Roman" w:cs="Times New Roman"/>
        </w:rPr>
        <w:t xml:space="preserve"> - Lavoie, M. (2022). </w:t>
      </w:r>
      <w:r w:rsidRPr="00A90CD1">
        <w:rPr>
          <w:rFonts w:ascii="Times New Roman" w:hAnsi="Times New Roman" w:cs="Times New Roman"/>
          <w:i/>
          <w:iCs/>
        </w:rPr>
        <w:t>Post-Keynesian Economics: New Foundations</w:t>
      </w:r>
      <w:r w:rsidRPr="00A90CD1">
        <w:rPr>
          <w:rFonts w:ascii="Times New Roman" w:hAnsi="Times New Roman" w:cs="Times New Roman"/>
        </w:rPr>
        <w:t xml:space="preserve"> (2nd ed.). Edward Elgar.</w:t>
      </w:r>
    </w:p>
    <w:p w14:paraId="6361C147" w14:textId="0C13ED0A"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Primary Course Materials:</w:t>
      </w:r>
      <w:r w:rsidRPr="00A90CD1">
        <w:rPr>
          <w:rFonts w:ascii="Times New Roman" w:hAnsi="Times New Roman" w:cs="Times New Roman"/>
        </w:rPr>
        <w:t xml:space="preserve"> - Özden, O. (2025). </w:t>
      </w:r>
      <w:r w:rsidRPr="00A90CD1">
        <w:rPr>
          <w:rFonts w:ascii="Times New Roman" w:hAnsi="Times New Roman" w:cs="Times New Roman"/>
          <w:i/>
          <w:iCs/>
        </w:rPr>
        <w:t>Inequality, Post-COVID Inflation and Incomes Policy in a Two-Household SFC Model for the UK Economy.</w:t>
      </w:r>
      <w:r w:rsidRPr="00A90CD1">
        <w:rPr>
          <w:rFonts w:ascii="Times New Roman" w:hAnsi="Times New Roman" w:cs="Times New Roman"/>
        </w:rPr>
        <w:t xml:space="preserve"> Doctoral Dissertation, Kadir Has University. </w:t>
      </w:r>
      <w:r w:rsidRPr="00A90CD1">
        <w:rPr>
          <w:rFonts w:ascii="Times New Roman" w:hAnsi="Times New Roman" w:cs="Times New Roman"/>
          <w:b/>
          <w:bCs/>
        </w:rPr>
        <w:t>[Used Weeks 7-11]</w:t>
      </w:r>
      <w:r w:rsidRPr="00A90CD1">
        <w:rPr>
          <w:rFonts w:ascii="Times New Roman" w:hAnsi="Times New Roman" w:cs="Times New Roman"/>
        </w:rPr>
        <w:t xml:space="preserve"> - Özden, O. &amp; Yeldan, A. E. (2026). </w:t>
      </w:r>
      <w:r w:rsidRPr="00A90CD1">
        <w:rPr>
          <w:rFonts w:ascii="Times New Roman" w:hAnsi="Times New Roman" w:cs="Times New Roman"/>
          <w:i/>
          <w:iCs/>
        </w:rPr>
        <w:t>Understanding the Effectiveness of Incomes Policy in a Two-Household SFC Model of the UK</w:t>
      </w:r>
      <w:r w:rsidRPr="00A90CD1">
        <w:rPr>
          <w:rFonts w:ascii="Times New Roman" w:hAnsi="Times New Roman" w:cs="Times New Roman"/>
        </w:rPr>
        <w:t>, PKES Working Paper 2606. - Özden (2026), Two-household UK-SFC empirical model</w:t>
      </w:r>
      <w:r w:rsidR="009F5E29">
        <w:rPr>
          <w:rFonts w:ascii="Times New Roman" w:hAnsi="Times New Roman" w:cs="Times New Roman"/>
        </w:rPr>
        <w:t>,</w:t>
      </w:r>
      <w:r w:rsidRPr="00A90CD1">
        <w:rPr>
          <w:rFonts w:ascii="Times New Roman" w:hAnsi="Times New Roman" w:cs="Times New Roman"/>
        </w:rPr>
        <w:t xml:space="preserve">  manuscript and supplementary material. </w:t>
      </w:r>
      <w:r w:rsidRPr="00A90CD1">
        <w:rPr>
          <w:rFonts w:ascii="Times New Roman" w:hAnsi="Times New Roman" w:cs="Times New Roman"/>
          <w:b/>
          <w:bCs/>
        </w:rPr>
        <w:t>[Used Weeks 11-12]</w:t>
      </w:r>
    </w:p>
    <w:p w14:paraId="3840A652"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Survey and Methodological:</w:t>
      </w:r>
      <w:r w:rsidRPr="00A90CD1">
        <w:rPr>
          <w:rFonts w:ascii="Times New Roman" w:hAnsi="Times New Roman" w:cs="Times New Roman"/>
        </w:rPr>
        <w:t xml:space="preserve"> - Caverzasi, E. &amp; Godin, A. (2015). “Post-Keynesian stock-flow consistent modelling: A survey,” </w:t>
      </w:r>
      <w:r w:rsidRPr="00A90CD1">
        <w:rPr>
          <w:rFonts w:ascii="Times New Roman" w:hAnsi="Times New Roman" w:cs="Times New Roman"/>
          <w:i/>
          <w:iCs/>
        </w:rPr>
        <w:t>Cambridge Journal of Economics</w:t>
      </w:r>
      <w:r w:rsidRPr="00A90CD1">
        <w:rPr>
          <w:rFonts w:ascii="Times New Roman" w:hAnsi="Times New Roman" w:cs="Times New Roman"/>
        </w:rPr>
        <w:t xml:space="preserve"> 39(1). - Nikiforos, M. &amp; Zezza, G. (2017). “Stock-Flow Consistent Macroeconomic Models: A Survey,” </w:t>
      </w:r>
      <w:r w:rsidRPr="00A90CD1">
        <w:rPr>
          <w:rFonts w:ascii="Times New Roman" w:hAnsi="Times New Roman" w:cs="Times New Roman"/>
          <w:i/>
          <w:iCs/>
        </w:rPr>
        <w:t>Journal of Economic Surveys</w:t>
      </w:r>
      <w:r w:rsidRPr="00A90CD1">
        <w:rPr>
          <w:rFonts w:ascii="Times New Roman" w:hAnsi="Times New Roman" w:cs="Times New Roman"/>
        </w:rPr>
        <w:t xml:space="preserve"> 31(5). - Copeland, M. A. (1949). “Social Accounting for Moneyflows,” </w:t>
      </w:r>
      <w:r w:rsidRPr="00A90CD1">
        <w:rPr>
          <w:rFonts w:ascii="Times New Roman" w:hAnsi="Times New Roman" w:cs="Times New Roman"/>
          <w:i/>
          <w:iCs/>
        </w:rPr>
        <w:t>The Accounting Review</w:t>
      </w:r>
      <w:r w:rsidRPr="00A90CD1">
        <w:rPr>
          <w:rFonts w:ascii="Times New Roman" w:hAnsi="Times New Roman" w:cs="Times New Roman"/>
        </w:rPr>
        <w:t xml:space="preserve"> 24(3).</w:t>
      </w:r>
    </w:p>
    <w:p w14:paraId="2339765A"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Foundational Heterodox:</w:t>
      </w:r>
      <w:r w:rsidRPr="00A90CD1">
        <w:rPr>
          <w:rFonts w:ascii="Times New Roman" w:hAnsi="Times New Roman" w:cs="Times New Roman"/>
        </w:rPr>
        <w:t xml:space="preserve"> - Rowthorn, R. E. (1977). “Conflict, Inflation and Money,” </w:t>
      </w:r>
      <w:r w:rsidRPr="00A90CD1">
        <w:rPr>
          <w:rFonts w:ascii="Times New Roman" w:hAnsi="Times New Roman" w:cs="Times New Roman"/>
          <w:i/>
          <w:iCs/>
        </w:rPr>
        <w:t>Cambridge Journal of Economics</w:t>
      </w:r>
      <w:r w:rsidRPr="00A90CD1">
        <w:rPr>
          <w:rFonts w:ascii="Times New Roman" w:hAnsi="Times New Roman" w:cs="Times New Roman"/>
        </w:rPr>
        <w:t xml:space="preserve"> 1(3). - Pasinetti, L. (1974). </w:t>
      </w:r>
      <w:r w:rsidRPr="00A90CD1">
        <w:rPr>
          <w:rFonts w:ascii="Times New Roman" w:hAnsi="Times New Roman" w:cs="Times New Roman"/>
          <w:i/>
          <w:iCs/>
        </w:rPr>
        <w:t>Growth and Income Distribution</w:t>
      </w:r>
      <w:r w:rsidRPr="00A90CD1">
        <w:rPr>
          <w:rFonts w:ascii="Times New Roman" w:hAnsi="Times New Roman" w:cs="Times New Roman"/>
        </w:rPr>
        <w:t xml:space="preserve">. Cambridge University Press, Ch. 4. - Kalecki, M. (1971). </w:t>
      </w:r>
      <w:r w:rsidRPr="00A90CD1">
        <w:rPr>
          <w:rFonts w:ascii="Times New Roman" w:hAnsi="Times New Roman" w:cs="Times New Roman"/>
          <w:i/>
          <w:iCs/>
        </w:rPr>
        <w:t>Selected Essays on the Dynamics of the Capitalist Economy</w:t>
      </w:r>
      <w:r w:rsidRPr="00A90CD1">
        <w:rPr>
          <w:rFonts w:ascii="Times New Roman" w:hAnsi="Times New Roman" w:cs="Times New Roman"/>
        </w:rPr>
        <w:t xml:space="preserve">. - Moore, B. J. (1988). </w:t>
      </w:r>
      <w:r w:rsidRPr="00A90CD1">
        <w:rPr>
          <w:rFonts w:ascii="Times New Roman" w:hAnsi="Times New Roman" w:cs="Times New Roman"/>
          <w:i/>
          <w:iCs/>
        </w:rPr>
        <w:t>Horizontalists and Verticalists</w:t>
      </w:r>
      <w:r w:rsidRPr="00A90CD1">
        <w:rPr>
          <w:rFonts w:ascii="Times New Roman" w:hAnsi="Times New Roman" w:cs="Times New Roman"/>
        </w:rPr>
        <w:t>.</w:t>
      </w:r>
    </w:p>
    <w:p w14:paraId="6E7E1703"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Empirical SFC and UK Modeling:</w:t>
      </w:r>
      <w:r w:rsidRPr="00A90CD1">
        <w:rPr>
          <w:rFonts w:ascii="Times New Roman" w:hAnsi="Times New Roman" w:cs="Times New Roman"/>
        </w:rPr>
        <w:t xml:space="preserve"> - Burgess et al. (2016). “A dynamic model of financial balances for the United Kingdom,” Bank of England Staff Working Paper No. 614. - Zezza, G. &amp; Zezza, F. (2019). “On the design of empirical stock-flow consistent models,” </w:t>
      </w:r>
      <w:r w:rsidRPr="00A90CD1">
        <w:rPr>
          <w:rFonts w:ascii="Times New Roman" w:hAnsi="Times New Roman" w:cs="Times New Roman"/>
          <w:i/>
          <w:iCs/>
        </w:rPr>
        <w:t>European Journal of Economics and Economic Policies: Intervention</w:t>
      </w:r>
      <w:r w:rsidRPr="00A90CD1">
        <w:rPr>
          <w:rFonts w:ascii="Times New Roman" w:hAnsi="Times New Roman" w:cs="Times New Roman"/>
        </w:rPr>
        <w:t xml:space="preserve">. - Raza, Laurentjoye, Byrialsen &amp; Valdecantos (2023). “Inflation and the role of macroeconomic policies: A model for the case of Denmark,” </w:t>
      </w:r>
      <w:r w:rsidRPr="00A90CD1">
        <w:rPr>
          <w:rFonts w:ascii="Times New Roman" w:hAnsi="Times New Roman" w:cs="Times New Roman"/>
          <w:i/>
          <w:iCs/>
        </w:rPr>
        <w:t>Structural Change and Economic Dynamics</w:t>
      </w:r>
      <w:r w:rsidRPr="00A90CD1">
        <w:rPr>
          <w:rFonts w:ascii="Times New Roman" w:hAnsi="Times New Roman" w:cs="Times New Roman"/>
        </w:rPr>
        <w:t xml:space="preserve"> 67.</w:t>
      </w:r>
    </w:p>
    <w:p w14:paraId="7645B065"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Frontier SFC:</w:t>
      </w:r>
      <w:r w:rsidRPr="00A90CD1">
        <w:rPr>
          <w:rFonts w:ascii="Times New Roman" w:hAnsi="Times New Roman" w:cs="Times New Roman"/>
        </w:rPr>
        <w:t xml:space="preserve"> - Caiani et al. (2016). “Agent based-stock flow consistent macroeconomics,” </w:t>
      </w:r>
      <w:r w:rsidRPr="00A90CD1">
        <w:rPr>
          <w:rFonts w:ascii="Times New Roman" w:hAnsi="Times New Roman" w:cs="Times New Roman"/>
          <w:i/>
          <w:iCs/>
        </w:rPr>
        <w:t>Journal of Economic Dynamics and Control</w:t>
      </w:r>
      <w:r w:rsidRPr="00A90CD1">
        <w:rPr>
          <w:rFonts w:ascii="Times New Roman" w:hAnsi="Times New Roman" w:cs="Times New Roman"/>
        </w:rPr>
        <w:t xml:space="preserve"> 69. - Dafermos, Nikolaidi &amp; Galanis (2017). “A stock-flow-fund ecological macroeconomic model,” </w:t>
      </w:r>
      <w:r w:rsidRPr="00A90CD1">
        <w:rPr>
          <w:rFonts w:ascii="Times New Roman" w:hAnsi="Times New Roman" w:cs="Times New Roman"/>
          <w:i/>
          <w:iCs/>
        </w:rPr>
        <w:t>Ecological Economics</w:t>
      </w:r>
      <w:r w:rsidRPr="00A90CD1">
        <w:rPr>
          <w:rFonts w:ascii="Times New Roman" w:hAnsi="Times New Roman" w:cs="Times New Roman"/>
        </w:rPr>
        <w:t xml:space="preserve"> 131. - Nikolaidi, M. (2014). “Margins of safety and instability in a macrodynamic model with Minskyan insights,” </w:t>
      </w:r>
      <w:r w:rsidRPr="00A90CD1">
        <w:rPr>
          <w:rFonts w:ascii="Times New Roman" w:hAnsi="Times New Roman" w:cs="Times New Roman"/>
          <w:i/>
          <w:iCs/>
        </w:rPr>
        <w:t>Structural Change and Economic Dynamics</w:t>
      </w:r>
      <w:r w:rsidRPr="00A90CD1">
        <w:rPr>
          <w:rFonts w:ascii="Times New Roman" w:hAnsi="Times New Roman" w:cs="Times New Roman"/>
        </w:rPr>
        <w:t xml:space="preserve"> 31.</w:t>
      </w:r>
    </w:p>
    <w:p w14:paraId="6A8CF884"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Post-COVID Inflation Context:</w:t>
      </w:r>
      <w:r w:rsidRPr="00A90CD1">
        <w:rPr>
          <w:rFonts w:ascii="Times New Roman" w:hAnsi="Times New Roman" w:cs="Times New Roman"/>
        </w:rPr>
        <w:t xml:space="preserve"> - Weber, I. M. &amp; Wasner, E. (2023). “Sellers’ inflation, profits and conflict,” </w:t>
      </w:r>
      <w:r w:rsidRPr="00A90CD1">
        <w:rPr>
          <w:rFonts w:ascii="Times New Roman" w:hAnsi="Times New Roman" w:cs="Times New Roman"/>
          <w:i/>
          <w:iCs/>
        </w:rPr>
        <w:t>Review of Keynesian Economics</w:t>
      </w:r>
      <w:r w:rsidRPr="00A90CD1">
        <w:rPr>
          <w:rFonts w:ascii="Times New Roman" w:hAnsi="Times New Roman" w:cs="Times New Roman"/>
        </w:rPr>
        <w:t xml:space="preserve"> 11(2). - Storm, S. (2023). “Profit inflation is real,” </w:t>
      </w:r>
      <w:r w:rsidRPr="00A90CD1">
        <w:rPr>
          <w:rFonts w:ascii="Times New Roman" w:hAnsi="Times New Roman" w:cs="Times New Roman"/>
          <w:i/>
          <w:iCs/>
        </w:rPr>
        <w:t>PSL Quarterly Review</w:t>
      </w:r>
      <w:r w:rsidRPr="00A90CD1">
        <w:rPr>
          <w:rFonts w:ascii="Times New Roman" w:hAnsi="Times New Roman" w:cs="Times New Roman"/>
        </w:rPr>
        <w:t xml:space="preserve"> 76(306). - Lavoie, M. (2023). Multiple contributions to the post-</w:t>
      </w:r>
      <w:r w:rsidRPr="00A90CD1">
        <w:rPr>
          <w:rFonts w:ascii="Times New Roman" w:hAnsi="Times New Roman" w:cs="Times New Roman"/>
        </w:rPr>
        <w:lastRenderedPageBreak/>
        <w:t xml:space="preserve">COVID inflation debate. - Nikiforos, Grothe &amp; Weber (2024). “Markups, profit shares, and cost-push-profit-led inflation,” </w:t>
      </w:r>
      <w:r w:rsidRPr="00A90CD1">
        <w:rPr>
          <w:rFonts w:ascii="Times New Roman" w:hAnsi="Times New Roman" w:cs="Times New Roman"/>
          <w:i/>
          <w:iCs/>
        </w:rPr>
        <w:t>Industrial and Corporate Change</w:t>
      </w:r>
      <w:r w:rsidRPr="00A90CD1">
        <w:rPr>
          <w:rFonts w:ascii="Times New Roman" w:hAnsi="Times New Roman" w:cs="Times New Roman"/>
        </w:rPr>
        <w:t xml:space="preserve"> 33(2).</w:t>
      </w:r>
    </w:p>
    <w:p w14:paraId="3D26DA76" w14:textId="07847F94" w:rsidR="005621D4" w:rsidRPr="00A90CD1" w:rsidRDefault="000542A4" w:rsidP="00A90CD1">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085B5525" wp14:editId="22BEA9CA">
                <wp:simplePos x="0" y="0"/>
                <wp:positionH relativeFrom="column">
                  <wp:posOffset>-38100</wp:posOffset>
                </wp:positionH>
                <wp:positionV relativeFrom="paragraph">
                  <wp:posOffset>96520</wp:posOffset>
                </wp:positionV>
                <wp:extent cx="6019800" cy="0"/>
                <wp:effectExtent l="9525" t="8890" r="9525" b="10160"/>
                <wp:wrapNone/>
                <wp:docPr id="663265635"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635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A07AC3" id="AutoShape 40" o:spid="_x0000_s1026" type="#_x0000_t32" style="position:absolute;margin-left:-3pt;margin-top:7.6pt;width:474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" strokecolor="black [3213]" strokeweight=".5pt">
                <v:shadow color="#7f7f7f [1601]" opacity=".5" offset="1pt"/>
              </v:shape>
            </w:pict>
          </mc:Fallback>
        </mc:AlternateContent>
      </w:r>
    </w:p>
    <w:p w14:paraId="1697BA09" w14:textId="77777777" w:rsidR="005621D4" w:rsidRPr="00A90CD1" w:rsidRDefault="00000000" w:rsidP="00A90CD1">
      <w:pPr>
        <w:pStyle w:val="Heading2"/>
        <w:jc w:val="both"/>
        <w:rPr>
          <w:rFonts w:ascii="Times New Roman" w:hAnsi="Times New Roman" w:cs="Times New Roman"/>
          <w:color w:val="auto"/>
          <w:sz w:val="24"/>
          <w:szCs w:val="24"/>
        </w:rPr>
      </w:pPr>
      <w:bookmarkStart w:id="23" w:name="course-policies"/>
      <w:bookmarkEnd w:id="22"/>
      <w:r w:rsidRPr="00A90CD1">
        <w:rPr>
          <w:rFonts w:ascii="Times New Roman" w:hAnsi="Times New Roman" w:cs="Times New Roman"/>
          <w:color w:val="auto"/>
          <w:sz w:val="24"/>
          <w:szCs w:val="24"/>
        </w:rPr>
        <w:t>9. Course Policies</w:t>
      </w:r>
    </w:p>
    <w:p w14:paraId="55C8A497" w14:textId="77777777" w:rsidR="005621D4" w:rsidRPr="00A90CD1" w:rsidRDefault="00000000" w:rsidP="00A90CD1">
      <w:pPr>
        <w:pStyle w:val="FirstParagraph"/>
        <w:jc w:val="both"/>
        <w:rPr>
          <w:rFonts w:ascii="Times New Roman" w:hAnsi="Times New Roman" w:cs="Times New Roman"/>
        </w:rPr>
      </w:pPr>
      <w:r w:rsidRPr="00A90CD1">
        <w:rPr>
          <w:rFonts w:ascii="Times New Roman" w:hAnsi="Times New Roman" w:cs="Times New Roman"/>
          <w:b/>
          <w:bCs/>
        </w:rPr>
        <w:t>Code submission:</w:t>
      </w:r>
      <w:r w:rsidRPr="00A90CD1">
        <w:rPr>
          <w:rFonts w:ascii="Times New Roman" w:hAnsi="Times New Roman" w:cs="Times New Roman"/>
        </w:rPr>
        <w:t xml:space="preserve"> All problem sets and the final project are submitted via GitHub. The expectation is reproducible code: a third party should be able to clone the repository, run the simulation, and obtain identical results.</w:t>
      </w:r>
    </w:p>
    <w:p w14:paraId="0D5F0CF9"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Collaboration:</w:t>
      </w:r>
      <w:r w:rsidRPr="00A90CD1">
        <w:rPr>
          <w:rFonts w:ascii="Times New Roman" w:hAnsi="Times New Roman" w:cs="Times New Roman"/>
        </w:rPr>
        <w:t xml:space="preserve"> Students may discuss problem sets in pairs or small groups, but all submitted code and write-ups must be their own work. The final project is strictly individual.</w:t>
      </w:r>
    </w:p>
    <w:p w14:paraId="12817750"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Use of AI assistants:</w:t>
      </w:r>
      <w:r w:rsidRPr="00A90CD1">
        <w:rPr>
          <w:rFonts w:ascii="Times New Roman" w:hAnsi="Times New Roman" w:cs="Times New Roman"/>
        </w:rPr>
        <w:t xml:space="preserve"> AI assistants may be used for code debugging and for clarifying mathematical derivations, but not for generating problem-set solutions or final-project content. All AI use must be acknowledged in a brief note at the end of each submission.</w:t>
      </w:r>
    </w:p>
    <w:p w14:paraId="0BCAFD26" w14:textId="77777777" w:rsidR="005621D4" w:rsidRPr="00A90CD1" w:rsidRDefault="00000000" w:rsidP="00A90CD1">
      <w:pPr>
        <w:pStyle w:val="BodyText"/>
        <w:jc w:val="both"/>
        <w:rPr>
          <w:rFonts w:ascii="Times New Roman" w:hAnsi="Times New Roman" w:cs="Times New Roman"/>
        </w:rPr>
      </w:pPr>
      <w:r w:rsidRPr="00A90CD1">
        <w:rPr>
          <w:rFonts w:ascii="Times New Roman" w:hAnsi="Times New Roman" w:cs="Times New Roman"/>
          <w:b/>
          <w:bCs/>
        </w:rPr>
        <w:t>Office hours:</w:t>
      </w:r>
      <w:r w:rsidRPr="00A90CD1">
        <w:rPr>
          <w:rFonts w:ascii="Times New Roman" w:hAnsi="Times New Roman" w:cs="Times New Roman"/>
        </w:rPr>
        <w:t xml:space="preserve"> Weekly, with extended hours during the final-project development phase (Weeks 10-14).</w:t>
      </w:r>
    </w:p>
    <w:p w14:paraId="10A59289" w14:textId="67310268" w:rsidR="005621D4" w:rsidRPr="00A90CD1" w:rsidRDefault="000542A4" w:rsidP="00A90CD1">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085B5525" wp14:editId="57D6D187">
                <wp:simplePos x="0" y="0"/>
                <wp:positionH relativeFrom="column">
                  <wp:posOffset>8255</wp:posOffset>
                </wp:positionH>
                <wp:positionV relativeFrom="paragraph">
                  <wp:posOffset>113665</wp:posOffset>
                </wp:positionV>
                <wp:extent cx="6019800" cy="0"/>
                <wp:effectExtent l="8255" t="8255" r="10795" b="10795"/>
                <wp:wrapNone/>
                <wp:docPr id="1254257670"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635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D77317B" id="AutoShape 41" o:spid="_x0000_s1026" type="#_x0000_t32" style="position:absolute;margin-left:.65pt;margin-top:8.95pt;width:474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" strokecolor="black [3213]" strokeweight=".5pt">
                <v:shadow color="#7f7f7f [1601]" opacity=".5" offset="1pt"/>
              </v:shape>
            </w:pict>
          </mc:Fallback>
        </mc:AlternateContent>
      </w:r>
    </w:p>
    <w:p w14:paraId="3AF344F2" w14:textId="3AC9D3FE" w:rsidR="005621D4" w:rsidRPr="00A90CD1" w:rsidRDefault="00000000" w:rsidP="00A90CD1">
      <w:pPr>
        <w:pStyle w:val="FirstParagraph"/>
        <w:jc w:val="both"/>
        <w:rPr>
          <w:rFonts w:ascii="Times New Roman" w:hAnsi="Times New Roman" w:cs="Times New Roman"/>
        </w:rPr>
      </w:pPr>
      <w:r w:rsidRPr="00A90CD1">
        <w:rPr>
          <w:rFonts w:ascii="Times New Roman" w:hAnsi="Times New Roman" w:cs="Times New Roman"/>
          <w:i/>
          <w:iCs/>
        </w:rPr>
        <w:t>The instructor reserves the right to make minor adjustments to the syllabus in response to student feedback and developments in the literature.</w:t>
      </w:r>
      <w:bookmarkEnd w:id="0"/>
      <w:bookmarkEnd w:id="23"/>
    </w:p>
    <w:sectPr w:rsidR="005621D4" w:rsidRPr="00A90CD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EF4D7" w14:textId="77777777" w:rsidR="00A76153" w:rsidRDefault="00A76153">
      <w:pPr>
        <w:spacing w:after="0"/>
      </w:pPr>
      <w:r>
        <w:separator/>
      </w:r>
    </w:p>
  </w:endnote>
  <w:endnote w:type="continuationSeparator" w:id="0">
    <w:p w14:paraId="6D770D96" w14:textId="77777777" w:rsidR="00A76153" w:rsidRDefault="00A761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B808F" w14:textId="77777777" w:rsidR="00A76153" w:rsidRDefault="00A76153">
      <w:r>
        <w:separator/>
      </w:r>
    </w:p>
  </w:footnote>
  <w:footnote w:type="continuationSeparator" w:id="0">
    <w:p w14:paraId="4F05A9BE" w14:textId="77777777" w:rsidR="00A76153" w:rsidRDefault="00A76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848D6A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2E6C2A1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17603F64"/>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7B4D142F"/>
    <w:multiLevelType w:val="hybridMultilevel"/>
    <w:tmpl w:val="FD287B3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43134990">
    <w:abstractNumId w:val="0"/>
  </w:num>
  <w:num w:numId="2" w16cid:durableId="12779029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2359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13126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2265547">
    <w:abstractNumId w:val="1"/>
  </w:num>
  <w:num w:numId="6" w16cid:durableId="63840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D4"/>
    <w:rsid w:val="000542A4"/>
    <w:rsid w:val="002406E7"/>
    <w:rsid w:val="005621D4"/>
    <w:rsid w:val="009F5E29"/>
    <w:rsid w:val="00A44086"/>
    <w:rsid w:val="00A76153"/>
    <w:rsid w:val="00A82909"/>
    <w:rsid w:val="00A90CD1"/>
    <w:rsid w:val="00D86AC4"/>
    <w:rsid w:val="00DA5A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AEF4F"/>
  <w15:docId w15:val="{3579DDFA-F5F5-48D9-9423-A5B1EA55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A44086"/>
    <w:pPr>
      <w:tabs>
        <w:tab w:val="center" w:pos="4680"/>
        <w:tab w:val="right" w:pos="9360"/>
      </w:tabs>
      <w:spacing w:after="0"/>
    </w:pPr>
  </w:style>
  <w:style w:type="character" w:customStyle="1" w:styleId="HeaderChar">
    <w:name w:val="Header Char"/>
    <w:basedOn w:val="DefaultParagraphFont"/>
    <w:link w:val="Header"/>
    <w:rsid w:val="00A44086"/>
  </w:style>
  <w:style w:type="paragraph" w:styleId="Footer">
    <w:name w:val="footer"/>
    <w:basedOn w:val="Normal"/>
    <w:link w:val="FooterChar"/>
    <w:rsid w:val="00A44086"/>
    <w:pPr>
      <w:tabs>
        <w:tab w:val="center" w:pos="4680"/>
        <w:tab w:val="right" w:pos="9360"/>
      </w:tabs>
      <w:spacing w:after="0"/>
    </w:pPr>
  </w:style>
  <w:style w:type="character" w:customStyle="1" w:styleId="FooterChar">
    <w:name w:val="Footer Char"/>
    <w:basedOn w:val="DefaultParagraphFont"/>
    <w:link w:val="Footer"/>
    <w:rsid w:val="00A44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3971</Words>
  <Characters>22638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OKTAY ÖZDEN</dc:creator>
  <cp:keywords/>
  <cp:lastModifiedBy>OKTAY ÖZDEN</cp:lastModifiedBy>
  <cp:revision>2</cp:revision>
  <dcterms:created xsi:type="dcterms:W3CDTF">2026-05-16T16:06:00Z</dcterms:created>
  <dcterms:modified xsi:type="dcterms:W3CDTF">2026-05-16T16:06:00Z</dcterms:modified>
</cp:coreProperties>
</file>